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210"/>
        <w:jc w:val="center"/>
        <w:outlineLvl w:val="0"/>
        <w:rPr>
          <w:rFonts w:ascii="Microsoft YaHei UI" w:hAnsi="Microsoft YaHei UI" w:eastAsia="Microsoft YaHei UI" w:cs="宋体"/>
          <w:b/>
          <w:bCs/>
          <w:color w:val="000000" w:themeColor="text1"/>
          <w:spacing w:val="9"/>
          <w:kern w:val="36"/>
          <w:sz w:val="33"/>
          <w:szCs w:val="33"/>
          <w14:textFill>
            <w14:solidFill>
              <w14:schemeClr w14:val="tx1"/>
            </w14:solidFill>
          </w14:textFill>
        </w:rPr>
      </w:pPr>
      <w:r>
        <w:rPr>
          <w:rFonts w:hint="eastAsia" w:ascii="Microsoft YaHei UI" w:hAnsi="Microsoft YaHei UI" w:eastAsia="Microsoft YaHei UI" w:cs="宋体"/>
          <w:b/>
          <w:bCs/>
          <w:color w:val="000000" w:themeColor="text1"/>
          <w:spacing w:val="9"/>
          <w:kern w:val="36"/>
          <w:sz w:val="33"/>
          <w:szCs w:val="33"/>
          <w14:textFill>
            <w14:solidFill>
              <w14:schemeClr w14:val="tx1"/>
            </w14:solidFill>
          </w14:textFill>
        </w:rPr>
        <w:t>【设备应用培训】三重四极杆液质联用仪、分析型/制备型高效液相色谱仪培训通知</w:t>
      </w:r>
    </w:p>
    <w:p>
      <w:r>
        <w:rPr>
          <w:rFonts w:hint="eastAsia"/>
        </w:rPr>
        <w:t>各相关单位:</w:t>
      </w:r>
    </w:p>
    <w:p>
      <w:pPr>
        <w:ind w:firstLine="560" w:firstLineChars="200"/>
        <w:jc w:val="both"/>
      </w:pPr>
      <w:r>
        <w:rPr>
          <w:rFonts w:hint="eastAsia"/>
        </w:rPr>
        <w:t>为进一步落实《暨南大学贵重仪器设备开放共享管理办法（暨通〔</w:t>
      </w:r>
      <w:r>
        <w:t>201</w:t>
      </w:r>
      <w:r>
        <w:rPr>
          <w:rFonts w:hint="eastAsia"/>
        </w:rPr>
        <w:t>8</w:t>
      </w:r>
      <w:r>
        <w:t>〕</w:t>
      </w:r>
      <w:r>
        <w:rPr>
          <w:rFonts w:hint="eastAsia"/>
        </w:rPr>
        <w:t>1</w:t>
      </w:r>
      <w:r>
        <w:t>0号）</w:t>
      </w:r>
      <w:r>
        <w:rPr>
          <w:rFonts w:hint="eastAsia"/>
        </w:rPr>
        <w:t>》文件精神，推进我校仪器设备全面开放共享，提高仪器设备使用效率，满足相关学科师生的科研要求，特举办</w:t>
      </w:r>
      <w:r>
        <w:rPr>
          <w:rStyle w:val="10"/>
          <w:rFonts w:hint="eastAsia"/>
          <w:color w:val="000000"/>
          <w:spacing w:val="9"/>
          <w:sz w:val="27"/>
          <w:szCs w:val="27"/>
          <w:shd w:val="clear" w:color="auto" w:fill="FFFFFF"/>
        </w:rPr>
        <w:t>三重四极杆液质联用仪（AB SCIEX 3500）、</w:t>
      </w:r>
      <w:r>
        <w:rPr>
          <w:rFonts w:hint="eastAsia"/>
          <w:b/>
          <w:bCs/>
        </w:rPr>
        <w:t>分析型高效液相色谱仪（Agilent</w:t>
      </w:r>
      <w:r>
        <w:rPr>
          <w:b/>
          <w:bCs/>
        </w:rPr>
        <w:t xml:space="preserve"> 1200</w:t>
      </w:r>
      <w:r>
        <w:rPr>
          <w:rFonts w:hint="eastAsia"/>
          <w:b/>
          <w:bCs/>
        </w:rPr>
        <w:t>）、制备型高效液相色谱仪（Agilent</w:t>
      </w:r>
      <w:r>
        <w:rPr>
          <w:b/>
          <w:bCs/>
        </w:rPr>
        <w:t xml:space="preserve"> 1260</w:t>
      </w:r>
      <w:r>
        <w:rPr>
          <w:rFonts w:hint="eastAsia"/>
          <w:b/>
          <w:bCs/>
        </w:rPr>
        <w:t>）</w:t>
      </w:r>
      <w:r>
        <w:rPr>
          <w:rFonts w:hint="eastAsia"/>
        </w:rPr>
        <w:t>应用培训，由实验室与设备管理处主办，药学院公共科研平台承办。具体安排如下</w:t>
      </w:r>
      <w:r>
        <w:t>:</w:t>
      </w:r>
    </w:p>
    <w:p>
      <w:pPr>
        <w:ind w:firstLine="562" w:firstLineChars="200"/>
        <w:jc w:val="both"/>
        <w:rPr>
          <w:b/>
          <w:bCs/>
        </w:rPr>
      </w:pPr>
      <w:r>
        <w:rPr>
          <w:rFonts w:hint="eastAsia"/>
          <w:b/>
          <w:bCs/>
        </w:rPr>
        <w:t>一、培训安排</w:t>
      </w:r>
    </w:p>
    <w:tbl>
      <w:tblPr>
        <w:tblStyle w:val="7"/>
        <w:tblW w:w="87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5" w:type="dxa"/>
          <w:bottom w:w="0" w:type="dxa"/>
          <w:right w:w="105" w:type="dxa"/>
        </w:tblCellMar>
      </w:tblPr>
      <w:tblGrid>
        <w:gridCol w:w="1349"/>
        <w:gridCol w:w="1478"/>
        <w:gridCol w:w="2410"/>
        <w:gridCol w:w="1631"/>
        <w:gridCol w:w="184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5" w:type="dxa"/>
            <w:bottom w:w="0" w:type="dxa"/>
            <w:right w:w="105" w:type="dxa"/>
          </w:tblCellMar>
        </w:tblPrEx>
        <w:trPr>
          <w:trHeight w:val="551" w:hRule="atLeast"/>
          <w:jc w:val="center"/>
        </w:trPr>
        <w:tc>
          <w:tcPr>
            <w:tcW w:w="1349" w:type="dxa"/>
            <w:tcBorders>
              <w:top w:val="single" w:color="000000" w:sz="6" w:space="0"/>
              <w:left w:val="single" w:color="000000" w:sz="6" w:space="0"/>
              <w:bottom w:val="single" w:color="000000" w:sz="6" w:space="0"/>
              <w:right w:val="single" w:color="000000" w:sz="6" w:space="0"/>
            </w:tcBorders>
            <w:vAlign w:val="center"/>
          </w:tcPr>
          <w:p>
            <w:pPr>
              <w:spacing w:before="204"/>
              <w:jc w:val="center"/>
              <w:rPr>
                <w:b/>
                <w:sz w:val="22"/>
              </w:rPr>
            </w:pPr>
            <w:r>
              <w:rPr>
                <w:rFonts w:hint="eastAsia"/>
                <w:b/>
                <w:sz w:val="22"/>
              </w:rPr>
              <w:t>培训日期</w:t>
            </w:r>
          </w:p>
        </w:tc>
        <w:tc>
          <w:tcPr>
            <w:tcW w:w="1478" w:type="dxa"/>
            <w:tcBorders>
              <w:top w:val="single" w:color="000000" w:sz="6" w:space="0"/>
              <w:left w:val="single" w:color="000000" w:sz="6" w:space="0"/>
              <w:bottom w:val="single" w:color="000000" w:sz="6" w:space="0"/>
              <w:right w:val="single" w:color="000000" w:sz="6" w:space="0"/>
            </w:tcBorders>
            <w:vAlign w:val="center"/>
          </w:tcPr>
          <w:p>
            <w:pPr>
              <w:spacing w:before="204"/>
              <w:jc w:val="center"/>
              <w:rPr>
                <w:b/>
                <w:sz w:val="22"/>
              </w:rPr>
            </w:pPr>
            <w:r>
              <w:rPr>
                <w:rFonts w:hint="eastAsia"/>
                <w:b/>
                <w:sz w:val="22"/>
              </w:rPr>
              <w:t>培训时间</w:t>
            </w:r>
          </w:p>
        </w:tc>
        <w:tc>
          <w:tcPr>
            <w:tcW w:w="2410" w:type="dxa"/>
            <w:tcBorders>
              <w:top w:val="single" w:color="000000" w:sz="6" w:space="0"/>
              <w:left w:val="single" w:color="000000" w:sz="6" w:space="0"/>
              <w:bottom w:val="single" w:color="000000" w:sz="6" w:space="0"/>
              <w:right w:val="single" w:color="000000" w:sz="6" w:space="0"/>
            </w:tcBorders>
          </w:tcPr>
          <w:p>
            <w:pPr>
              <w:spacing w:before="204"/>
              <w:jc w:val="center"/>
              <w:rPr>
                <w:b/>
                <w:sz w:val="22"/>
              </w:rPr>
            </w:pPr>
            <w:r>
              <w:rPr>
                <w:rFonts w:hint="eastAsia"/>
                <w:b/>
                <w:sz w:val="22"/>
              </w:rPr>
              <w:t>培训内容</w:t>
            </w:r>
          </w:p>
        </w:tc>
        <w:tc>
          <w:tcPr>
            <w:tcW w:w="163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204"/>
              <w:jc w:val="center"/>
              <w:rPr>
                <w:b/>
                <w:sz w:val="22"/>
              </w:rPr>
            </w:pPr>
            <w:r>
              <w:rPr>
                <w:rFonts w:hint="eastAsia"/>
                <w:b/>
                <w:sz w:val="22"/>
              </w:rPr>
              <w:t>培训地点</w:t>
            </w:r>
          </w:p>
        </w:tc>
        <w:tc>
          <w:tcPr>
            <w:tcW w:w="1841" w:type="dxa"/>
            <w:tcBorders>
              <w:top w:val="single" w:color="000000" w:sz="6" w:space="0"/>
              <w:left w:val="single" w:color="000000" w:sz="6" w:space="0"/>
              <w:bottom w:val="single" w:color="000000" w:sz="6" w:space="0"/>
              <w:right w:val="single" w:color="000000" w:sz="6" w:space="0"/>
            </w:tcBorders>
          </w:tcPr>
          <w:p>
            <w:pPr>
              <w:spacing w:before="204"/>
              <w:jc w:val="center"/>
              <w:rPr>
                <w:b/>
                <w:sz w:val="22"/>
              </w:rPr>
            </w:pPr>
            <w:r>
              <w:rPr>
                <w:rFonts w:hint="eastAsia"/>
                <w:b/>
                <w:sz w:val="22"/>
              </w:rPr>
              <w:t>联系人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5" w:type="dxa"/>
            <w:bottom w:w="0" w:type="dxa"/>
            <w:right w:w="105" w:type="dxa"/>
          </w:tblCellMar>
        </w:tblPrEx>
        <w:trPr>
          <w:trHeight w:val="887" w:hRule="atLeast"/>
          <w:jc w:val="center"/>
        </w:trPr>
        <w:tc>
          <w:tcPr>
            <w:tcW w:w="1349" w:type="dxa"/>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rFonts w:ascii="Times New Roman" w:hAnsi="Times New Roman" w:eastAsia="宋体" w:cs="Times New Roman"/>
                <w:sz w:val="21"/>
                <w:szCs w:val="21"/>
              </w:rPr>
              <w:t>9</w:t>
            </w:r>
            <w:r>
              <w:rPr>
                <w:rFonts w:hint="eastAsia" w:ascii="Times New Roman" w:hAnsi="Times New Roman" w:eastAsia="宋体" w:cs="Times New Roman"/>
                <w:sz w:val="21"/>
                <w:szCs w:val="21"/>
              </w:rPr>
              <w:t>月</w:t>
            </w:r>
            <w:r>
              <w:rPr>
                <w:rFonts w:ascii="Times New Roman" w:hAnsi="Times New Roman" w:eastAsia="宋体" w:cs="Times New Roman"/>
                <w:sz w:val="21"/>
                <w:szCs w:val="21"/>
              </w:rPr>
              <w:t>1</w:t>
            </w:r>
            <w:r>
              <w:rPr>
                <w:rFonts w:hint="eastAsia" w:ascii="Times New Roman" w:hAnsi="Times New Roman" w:eastAsia="宋体" w:cs="Times New Roman"/>
                <w:sz w:val="21"/>
                <w:szCs w:val="21"/>
              </w:rPr>
              <w:t>5日</w:t>
            </w:r>
          </w:p>
        </w:tc>
        <w:tc>
          <w:tcPr>
            <w:tcW w:w="1478" w:type="dxa"/>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rFonts w:ascii="Times New Roman" w:hAnsi="Times New Roman" w:eastAsia="宋体" w:cs="Times New Roman"/>
                <w:sz w:val="21"/>
                <w:szCs w:val="21"/>
              </w:rPr>
              <w:t>9:30-11:00</w:t>
            </w:r>
          </w:p>
        </w:tc>
        <w:tc>
          <w:tcPr>
            <w:tcW w:w="2410" w:type="dxa"/>
            <w:tcBorders>
              <w:top w:val="single" w:color="000000" w:sz="6" w:space="0"/>
              <w:left w:val="single" w:color="000000" w:sz="6" w:space="0"/>
              <w:bottom w:val="single" w:color="000000" w:sz="6" w:space="0"/>
              <w:right w:val="single" w:color="000000" w:sz="6" w:space="0"/>
            </w:tcBorders>
            <w:vAlign w:val="center"/>
          </w:tcPr>
          <w:p>
            <w:pPr>
              <w:rPr>
                <w:sz w:val="21"/>
                <w:szCs w:val="21"/>
              </w:rPr>
            </w:pPr>
            <w:r>
              <w:rPr>
                <w:rFonts w:hint="eastAsia" w:ascii="Times New Roman" w:hAnsi="Times New Roman" w:eastAsia="宋体" w:cs="Times New Roman"/>
                <w:color w:val="000000" w:themeColor="text1"/>
                <w:sz w:val="21"/>
                <w:szCs w:val="21"/>
                <w14:textFill>
                  <w14:solidFill>
                    <w14:schemeClr w14:val="tx1"/>
                  </w14:solidFill>
                </w14:textFill>
              </w:rPr>
              <w:t>分析型高效液相色谱仪（Agilent</w:t>
            </w:r>
            <w:r>
              <w:rPr>
                <w:rFonts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1200）</w:t>
            </w:r>
          </w:p>
        </w:tc>
        <w:tc>
          <w:tcPr>
            <w:tcW w:w="16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sz w:val="21"/>
                <w:szCs w:val="21"/>
              </w:rPr>
            </w:pPr>
            <w:r>
              <w:rPr>
                <w:rFonts w:ascii="Times New Roman" w:hAnsi="Times New Roman" w:eastAsia="宋体" w:cs="Times New Roman"/>
                <w:sz w:val="21"/>
                <w:szCs w:val="21"/>
              </w:rPr>
              <w:t>番禺校区F2栋药学院10</w:t>
            </w:r>
            <w:r>
              <w:rPr>
                <w:rFonts w:hint="eastAsia" w:ascii="Times New Roman" w:hAnsi="Times New Roman" w:eastAsia="宋体" w:cs="Times New Roman"/>
                <w:sz w:val="21"/>
                <w:szCs w:val="21"/>
              </w:rPr>
              <w:t>4</w:t>
            </w:r>
            <w:r>
              <w:rPr>
                <w:rFonts w:ascii="Times New Roman" w:hAnsi="Times New Roman" w:eastAsia="宋体" w:cs="Times New Roman"/>
                <w:sz w:val="21"/>
                <w:szCs w:val="21"/>
              </w:rPr>
              <w:t>室</w:t>
            </w:r>
          </w:p>
        </w:tc>
        <w:tc>
          <w:tcPr>
            <w:tcW w:w="1841"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宋老师</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13726838797</w:t>
            </w:r>
          </w:p>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曾老师</w:t>
            </w:r>
          </w:p>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19860019180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5" w:type="dxa"/>
            <w:bottom w:w="0" w:type="dxa"/>
            <w:right w:w="105" w:type="dxa"/>
          </w:tblCellMar>
        </w:tblPrEx>
        <w:trPr>
          <w:trHeight w:val="887" w:hRule="atLeast"/>
          <w:jc w:val="center"/>
        </w:trPr>
        <w:tc>
          <w:tcPr>
            <w:tcW w:w="1349"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9月1</w:t>
            </w:r>
            <w:r>
              <w:rPr>
                <w:rFonts w:ascii="Times New Roman" w:hAnsi="Times New Roman" w:eastAsia="宋体" w:cs="Times New Roman"/>
                <w:sz w:val="21"/>
                <w:szCs w:val="21"/>
              </w:rPr>
              <w:t>5</w:t>
            </w:r>
            <w:r>
              <w:rPr>
                <w:rFonts w:hint="eastAsia" w:ascii="Times New Roman" w:hAnsi="Times New Roman" w:eastAsia="宋体" w:cs="Times New Roman"/>
                <w:sz w:val="21"/>
                <w:szCs w:val="21"/>
              </w:rPr>
              <w:t>日</w:t>
            </w:r>
          </w:p>
        </w:tc>
        <w:tc>
          <w:tcPr>
            <w:tcW w:w="1478"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11:00-12:00</w:t>
            </w:r>
          </w:p>
        </w:tc>
        <w:tc>
          <w:tcPr>
            <w:tcW w:w="2410" w:type="dxa"/>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制备型高效液相色谱仪（Agilent</w:t>
            </w:r>
            <w:r>
              <w:rPr>
                <w:rFonts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12</w:t>
            </w:r>
            <w:r>
              <w:rPr>
                <w:rFonts w:ascii="Times New Roman" w:hAnsi="Times New Roman" w:eastAsia="宋体" w:cs="Times New Roman"/>
                <w:color w:val="000000" w:themeColor="text1"/>
                <w:sz w:val="21"/>
                <w:szCs w:val="21"/>
                <w14:textFill>
                  <w14:solidFill>
                    <w14:schemeClr w14:val="tx1"/>
                  </w14:solidFill>
                </w14:textFill>
              </w:rPr>
              <w:t>6</w:t>
            </w:r>
            <w:r>
              <w:rPr>
                <w:rFonts w:hint="eastAsia" w:ascii="Times New Roman" w:hAnsi="Times New Roman" w:eastAsia="宋体" w:cs="Times New Roman"/>
                <w:color w:val="000000" w:themeColor="text1"/>
                <w:sz w:val="21"/>
                <w:szCs w:val="21"/>
                <w14:textFill>
                  <w14:solidFill>
                    <w14:schemeClr w14:val="tx1"/>
                  </w14:solidFill>
                </w14:textFill>
              </w:rPr>
              <w:t>0）</w:t>
            </w:r>
          </w:p>
        </w:tc>
        <w:tc>
          <w:tcPr>
            <w:tcW w:w="16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Times New Roman" w:hAnsi="Times New Roman" w:eastAsia="宋体" w:cs="Times New Roman"/>
                <w:sz w:val="21"/>
                <w:szCs w:val="21"/>
              </w:rPr>
            </w:pPr>
            <w:r>
              <w:rPr>
                <w:rFonts w:ascii="Times New Roman" w:hAnsi="Times New Roman" w:eastAsia="宋体" w:cs="Times New Roman"/>
                <w:sz w:val="21"/>
                <w:szCs w:val="21"/>
              </w:rPr>
              <w:t>番禺校区F2栋药学院10</w:t>
            </w:r>
            <w:r>
              <w:rPr>
                <w:rFonts w:hint="eastAsia" w:ascii="Times New Roman" w:hAnsi="Times New Roman" w:eastAsia="宋体" w:cs="Times New Roman"/>
                <w:sz w:val="21"/>
                <w:szCs w:val="21"/>
              </w:rPr>
              <w:t>4</w:t>
            </w:r>
            <w:r>
              <w:rPr>
                <w:rFonts w:ascii="Times New Roman" w:hAnsi="Times New Roman" w:eastAsia="宋体" w:cs="Times New Roman"/>
                <w:sz w:val="21"/>
                <w:szCs w:val="21"/>
              </w:rPr>
              <w:t>室</w:t>
            </w:r>
          </w:p>
        </w:tc>
        <w:tc>
          <w:tcPr>
            <w:tcW w:w="1841"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宋老师</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13726838797</w:t>
            </w:r>
          </w:p>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曾老师</w:t>
            </w:r>
          </w:p>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19860019180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5" w:type="dxa"/>
            <w:bottom w:w="0" w:type="dxa"/>
            <w:right w:w="105" w:type="dxa"/>
          </w:tblCellMar>
        </w:tblPrEx>
        <w:trPr>
          <w:trHeight w:val="887"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9月1</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rPr>
              <w:t>日</w:t>
            </w:r>
          </w:p>
        </w:tc>
        <w:tc>
          <w:tcPr>
            <w:tcW w:w="14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imes New Roman" w:hAnsi="Times New Roman" w:eastAsia="宋体" w:cs="Times New Roman"/>
                <w:sz w:val="21"/>
                <w:szCs w:val="21"/>
              </w:rPr>
            </w:pPr>
            <w:r>
              <w:rPr>
                <w:rFonts w:ascii="Times New Roman" w:hAnsi="Times New Roman" w:eastAsia="宋体" w:cs="Times New Roman"/>
                <w:sz w:val="21"/>
                <w:szCs w:val="21"/>
              </w:rPr>
              <w:t>10:00-11:30</w:t>
            </w:r>
          </w:p>
        </w:tc>
        <w:tc>
          <w:tcPr>
            <w:tcW w:w="24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sz w:val="21"/>
                <w:szCs w:val="21"/>
              </w:rPr>
              <w:t>三重四极杆液质联用仪（AB SCIEX  3500）</w:t>
            </w:r>
          </w:p>
        </w:tc>
        <w:tc>
          <w:tcPr>
            <w:tcW w:w="16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color w:val="000000" w:themeColor="text1"/>
                <w:sz w:val="21"/>
                <w:szCs w:val="21"/>
                <w14:textFill>
                  <w14:solidFill>
                    <w14:schemeClr w14:val="tx1"/>
                  </w14:solidFill>
                </w14:textFill>
              </w:rPr>
              <w:t>番禺校区F2栋药学院105室</w:t>
            </w:r>
          </w:p>
        </w:tc>
        <w:tc>
          <w:tcPr>
            <w:tcW w:w="184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曾老师19860019180</w:t>
            </w:r>
          </w:p>
        </w:tc>
      </w:tr>
    </w:tbl>
    <w:p>
      <w:pPr>
        <w:ind w:firstLine="440" w:firstLineChars="200"/>
        <w:rPr>
          <w:sz w:val="22"/>
        </w:rPr>
      </w:pPr>
    </w:p>
    <w:p>
      <w:pPr>
        <w:ind w:firstLine="562" w:firstLineChars="200"/>
        <w:rPr>
          <w:b/>
          <w:bCs/>
        </w:rPr>
      </w:pPr>
      <w:r>
        <w:rPr>
          <w:rFonts w:hint="eastAsia"/>
          <w:b/>
          <w:bCs/>
        </w:rPr>
        <w:t>二、培训要求</w:t>
      </w:r>
    </w:p>
    <w:p>
      <w:pPr>
        <w:ind w:firstLine="560" w:firstLineChars="200"/>
        <w:jc w:val="both"/>
      </w:pPr>
      <w:r>
        <w:t>请在读硕士、博士研究生以课题组为单位报名（在校本科生暂不接受常规报名，</w:t>
      </w:r>
      <w:r>
        <w:rPr>
          <w:rFonts w:hint="eastAsia"/>
        </w:rPr>
        <w:t>特殊情况请指导教师联系药学院公共科研平台），</w:t>
      </w:r>
      <w:r>
        <w:t>参加培训并考核合格者，经申请同意可开通相应仪器的预约使用权限。</w:t>
      </w:r>
    </w:p>
    <w:p>
      <w:pPr>
        <w:ind w:firstLine="560" w:firstLineChars="200"/>
      </w:pPr>
      <w:r>
        <w:rPr>
          <w:rFonts w:hint="eastAsia"/>
        </w:rPr>
        <w:t>参与培训人员需遵照我校疫情防控相关要求参加培训，并统一扫码报名！</w:t>
      </w:r>
    </w:p>
    <w:p>
      <w:pPr>
        <w:jc w:val="center"/>
        <w:rPr>
          <w:rStyle w:val="10"/>
          <w:rFonts w:ascii="微软雅黑" w:hAnsi="微软雅黑" w:eastAsia="微软雅黑"/>
          <w:color w:val="666666"/>
          <w:spacing w:val="15"/>
          <w:sz w:val="21"/>
          <w:szCs w:val="21"/>
        </w:rPr>
      </w:pPr>
      <w:r>
        <mc:AlternateContent>
          <mc:Choice Requires="wps">
            <w:drawing>
              <wp:inline distT="0" distB="0" distL="0" distR="0">
                <wp:extent cx="304800" cy="304800"/>
                <wp:effectExtent l="0" t="0" r="0" b="0"/>
                <wp:docPr id="18" name="矩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zJZ00gAAAAMBAAAPAAAAAAAAAAEAIAAAACIAAABkcnMv&#10;ZG93bnJldi54bWxQSwECFAAUAAAACACHTuJAKRgMEAkCAAARBAAADgAAAAAAAAABACAAAAAhAQAA&#10;ZHJzL2Uyb0RvYy54bWxQSwUGAAAAAAYABgBZAQAAnAUAAAAA&#10;">
                <v:fill on="f" focussize="0,0"/>
                <v:stroke on="f"/>
                <v:imagedata o:title=""/>
                <o:lock v:ext="edit" aspectratio="t"/>
                <w10:wrap type="none"/>
                <w10:anchorlock/>
              </v:rect>
            </w:pict>
          </mc:Fallback>
        </mc:AlternateContent>
      </w:r>
      <w:r>
        <w:t xml:space="preserve"> </w:t>
      </w:r>
      <w:r>
        <w:drawing>
          <wp:inline distT="0" distB="0" distL="0" distR="0">
            <wp:extent cx="1371600" cy="13716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pic:spPr>
                </pic:pic>
              </a:graphicData>
            </a:graphic>
          </wp:inline>
        </w:drawing>
      </w:r>
      <w:r>
        <mc:AlternateContent>
          <mc:Choice Requires="wps">
            <w:drawing>
              <wp:inline distT="0" distB="0" distL="0" distR="0">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HzJZ00gAAAAMBAAAPAAAAAAAAAAEAIAAAACIAAABkcnMvZG93&#10;bnJldi54bWxQSwECFAAUAAAACACHTuJAIdTKOQYCAAAPBAAADgAAAAAAAAABACAAAAAhAQAAZHJz&#10;L2Uyb0RvYy54bWxQSwUGAAAAAAYABgBZAQAAmQUAAAAA&#10;">
                <v:fill on="f" focussize="0,0"/>
                <v:stroke on="f"/>
                <v:imagedata o:title=""/>
                <o:lock v:ext="edit" aspectratio="t"/>
                <w10:wrap type="none"/>
                <w10:anchorlock/>
              </v:rect>
            </w:pict>
          </mc:Fallback>
        </mc:AlternateContent>
      </w:r>
      <w:bookmarkStart w:id="0" w:name="_GoBack"/>
      <w:bookmarkEnd w:id="0"/>
    </w:p>
    <w:p>
      <w:pPr>
        <w:ind w:firstLine="3412" w:firstLineChars="1100"/>
        <w:rPr>
          <w:rFonts w:hint="eastAsia" w:eastAsia="微软雅黑"/>
          <w:color w:val="333333"/>
          <w:spacing w:val="9"/>
          <w:sz w:val="27"/>
          <w:szCs w:val="27"/>
          <w:shd w:val="clear" w:color="auto" w:fill="FFFFFF"/>
          <w:lang w:val="en-US" w:eastAsia="zh-CN"/>
        </w:rPr>
      </w:pPr>
      <w:r>
        <w:rPr>
          <w:rStyle w:val="10"/>
          <w:rFonts w:hint="eastAsia" w:ascii="微软雅黑" w:hAnsi="微软雅黑" w:eastAsia="微软雅黑"/>
          <w:spacing w:val="15"/>
          <w:szCs w:val="28"/>
        </w:rPr>
        <w:t>培训报名</w:t>
      </w:r>
      <w:r>
        <w:rPr>
          <w:rStyle w:val="10"/>
          <w:rFonts w:hint="eastAsia" w:ascii="微软雅黑" w:hAnsi="微软雅黑" w:eastAsia="微软雅黑"/>
          <w:spacing w:val="15"/>
          <w:szCs w:val="28"/>
          <w:lang w:val="en-US" w:eastAsia="zh-CN"/>
        </w:rPr>
        <w:t>二维码</w:t>
      </w:r>
    </w:p>
    <w:p>
      <w:pPr>
        <w:ind w:firstLine="562" w:firstLineChars="200"/>
        <w:rPr>
          <w:rFonts w:hint="eastAsia"/>
          <w:b/>
          <w:bCs/>
        </w:rPr>
      </w:pPr>
    </w:p>
    <w:p>
      <w:pPr>
        <w:ind w:firstLine="562" w:firstLineChars="200"/>
        <w:rPr>
          <w:b/>
          <w:bCs/>
        </w:rPr>
      </w:pPr>
      <w:r>
        <w:rPr>
          <w:rFonts w:hint="eastAsia"/>
          <w:b/>
          <w:bCs/>
        </w:rPr>
        <w:t>三、仪器介绍</w:t>
      </w:r>
    </w:p>
    <w:p>
      <w:pPr>
        <w:rPr>
          <w:rFonts w:hint="eastAsia"/>
          <w:b/>
          <w:bCs/>
        </w:rPr>
      </w:pPr>
      <w:r>
        <w:rPr>
          <w:rFonts w:hint="eastAsia" w:ascii="Times New Roman" w:hAnsi="Times New Roman" w:eastAsia="宋体" w:cs="Times New Roman"/>
          <w:b/>
          <w:bCs/>
          <w:sz w:val="24"/>
          <w:szCs w:val="24"/>
        </w:rPr>
        <w:t>三重四极杆液质联用仪介绍</w:t>
      </w:r>
    </w:p>
    <w:p>
      <w:pPr>
        <w:adjustRightInd/>
        <w:snapToGrid/>
        <w:spacing w:line="240" w:lineRule="auto"/>
        <w:rPr>
          <w:rFonts w:ascii="宋体" w:hAnsi="宋体" w:eastAsia="宋体" w:cs="宋体"/>
          <w:sz w:val="24"/>
          <w:szCs w:val="24"/>
        </w:rPr>
      </w:pPr>
      <w:r>
        <w:rPr>
          <w:rFonts w:ascii="宋体" w:hAnsi="宋体" w:eastAsia="宋体" w:cs="宋体"/>
          <w:sz w:val="24"/>
          <w:szCs w:val="24"/>
        </w:rPr>
        <w:drawing>
          <wp:inline distT="0" distB="0" distL="0" distR="0">
            <wp:extent cx="285750" cy="257175"/>
            <wp:effectExtent l="0" t="0" r="0" b="9525"/>
            <wp:docPr id="17" name="图片 1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5750" cy="257175"/>
                    </a:xfrm>
                    <a:prstGeom prst="rect">
                      <a:avLst/>
                    </a:prstGeom>
                    <a:noFill/>
                    <a:ln>
                      <a:noFill/>
                    </a:ln>
                  </pic:spPr>
                </pic:pic>
              </a:graphicData>
            </a:graphic>
          </wp:inline>
        </w:drawing>
      </w:r>
      <w:r>
        <w:rPr>
          <w:rFonts w:hint="eastAsia" w:ascii="宋体" w:hAnsi="宋体" w:eastAsia="宋体" w:cs="宋体"/>
          <w:sz w:val="24"/>
          <w:szCs w:val="24"/>
        </w:rPr>
        <w:t xml:space="preserve"> </w:t>
      </w:r>
      <w:r>
        <w:rPr>
          <w:rFonts w:hint="eastAsia" w:cs="宋体"/>
          <w:color w:val="00D100"/>
          <w:sz w:val="27"/>
          <w:szCs w:val="27"/>
        </w:rPr>
        <w:t>01</w:t>
      </w:r>
      <w:r>
        <w:rPr>
          <w:rFonts w:hint="eastAsia" w:cs="宋体"/>
          <w:b/>
          <w:bCs/>
          <w:color w:val="00D100"/>
          <w:sz w:val="27"/>
          <w:szCs w:val="27"/>
        </w:rPr>
        <w:t>功能特色</w:t>
      </w:r>
      <w:r>
        <w:rPr>
          <w:rFonts w:ascii="宋体" w:hAnsi="宋体" w:eastAsia="宋体" w:cs="宋体"/>
          <w:sz w:val="24"/>
          <w:szCs w:val="24"/>
        </w:rPr>
        <w:drawing>
          <wp:inline distT="0" distB="0" distL="0" distR="0">
            <wp:extent cx="285750" cy="257175"/>
            <wp:effectExtent l="0" t="0" r="0" b="9525"/>
            <wp:docPr id="16" name="图片 1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5750" cy="257175"/>
                    </a:xfrm>
                    <a:prstGeom prst="rect">
                      <a:avLst/>
                    </a:prstGeom>
                    <a:noFill/>
                    <a:ln>
                      <a:noFill/>
                    </a:ln>
                  </pic:spPr>
                </pic:pic>
              </a:graphicData>
            </a:graphic>
          </wp:inline>
        </w:drawing>
      </w:r>
    </w:p>
    <w:p>
      <w:pPr>
        <w:shd w:val="clear" w:color="auto" w:fill="FFFFFF"/>
        <w:adjustRightInd/>
        <w:snapToGrid/>
        <w:spacing w:line="240" w:lineRule="auto"/>
        <w:ind w:right="150"/>
        <w:rPr>
          <w:rFonts w:ascii="Microsoft YaHei UI" w:hAnsi="Microsoft YaHei UI" w:eastAsia="Microsoft YaHei UI" w:cs="宋体"/>
          <w:color w:val="9DD3DC"/>
          <w:spacing w:val="9"/>
          <w:sz w:val="26"/>
          <w:szCs w:val="26"/>
        </w:rPr>
      </w:pPr>
      <w:r>
        <w:rPr>
          <w:rFonts w:hint="eastAsia" w:cs="宋体"/>
          <w:color w:val="333333"/>
          <w:spacing w:val="9"/>
          <w:sz w:val="27"/>
          <w:szCs w:val="27"/>
        </w:rPr>
        <w:t>① Triple Quad 3500使用Turbo VTM离子源，确保化合物的高效电离，即使在大体积进样时，仍然能够有效消除交叉污染，在很宽的流速范围内进行可靠的定量分析。</w:t>
      </w:r>
    </w:p>
    <w:p>
      <w:pPr>
        <w:shd w:val="clear" w:color="auto" w:fill="FFFFFF"/>
        <w:adjustRightInd/>
        <w:snapToGrid/>
        <w:spacing w:line="240" w:lineRule="auto"/>
        <w:ind w:right="150"/>
        <w:rPr>
          <w:rFonts w:hint="eastAsia" w:ascii="Microsoft YaHei UI" w:hAnsi="Microsoft YaHei UI" w:eastAsia="Microsoft YaHei UI" w:cs="宋体"/>
          <w:color w:val="9DD3DC"/>
          <w:spacing w:val="9"/>
          <w:sz w:val="26"/>
          <w:szCs w:val="26"/>
        </w:rPr>
      </w:pPr>
      <w:r>
        <w:rPr>
          <w:rFonts w:hint="eastAsia" w:cs="宋体"/>
          <w:color w:val="333333"/>
          <w:spacing w:val="9"/>
          <w:sz w:val="27"/>
          <w:szCs w:val="27"/>
        </w:rPr>
        <w:t>②适用小分子的定性和定量检测，独有的MRM采集模式，具有灵敏度高、专属性强的优势，可实现多组分高通量同时定量分析，检测灵敏度可达ppb级水平。</w:t>
      </w:r>
    </w:p>
    <w:p>
      <w:pPr>
        <w:shd w:val="clear" w:color="auto" w:fill="FFFFFF"/>
        <w:adjustRightInd/>
        <w:snapToGrid/>
        <w:spacing w:line="240" w:lineRule="auto"/>
        <w:ind w:right="135"/>
        <w:rPr>
          <w:rFonts w:hint="eastAsia" w:ascii="Microsoft YaHei UI" w:hAnsi="Microsoft YaHei UI" w:eastAsia="Microsoft YaHei UI" w:cs="宋体"/>
          <w:color w:val="9DD3DC"/>
          <w:spacing w:val="9"/>
          <w:sz w:val="26"/>
          <w:szCs w:val="26"/>
        </w:rPr>
      </w:pPr>
      <w:r>
        <w:rPr>
          <w:rFonts w:hint="eastAsia" w:cs="宋体"/>
          <w:color w:val="333333"/>
          <w:spacing w:val="9"/>
          <w:sz w:val="27"/>
          <w:szCs w:val="27"/>
        </w:rPr>
        <w:t>③AB SCIEX 3500应用广泛，可应用于药代动力学ADME、临床医学药物剂量监测、药物相互作用监测、食品农药残留检测、生物样品中毒品/滥用药物检测、食品和环境污染物筛查、毒物学及法医学分析、产品配方非法添加物筛查等。</w:t>
      </w:r>
    </w:p>
    <w:p>
      <w:pPr>
        <w:adjustRightInd/>
        <w:snapToGrid/>
        <w:spacing w:line="240" w:lineRule="auto"/>
        <w:rPr>
          <w:rFonts w:ascii="宋体" w:hAnsi="宋体" w:eastAsia="宋体" w:cs="宋体"/>
          <w:sz w:val="24"/>
          <w:szCs w:val="24"/>
        </w:rPr>
      </w:pPr>
      <w:r>
        <w:rPr>
          <w:rFonts w:ascii="宋体" w:hAnsi="宋体" w:eastAsia="宋体" w:cs="宋体"/>
          <w:sz w:val="24"/>
          <w:szCs w:val="24"/>
        </w:rPr>
        <w:drawing>
          <wp:inline distT="0" distB="0" distL="0" distR="0">
            <wp:extent cx="285750" cy="257175"/>
            <wp:effectExtent l="0" t="0" r="0" b="9525"/>
            <wp:docPr id="15" name="图片 1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5750" cy="257175"/>
                    </a:xfrm>
                    <a:prstGeom prst="rect">
                      <a:avLst/>
                    </a:prstGeom>
                    <a:noFill/>
                    <a:ln>
                      <a:noFill/>
                    </a:ln>
                  </pic:spPr>
                </pic:pic>
              </a:graphicData>
            </a:graphic>
          </wp:inline>
        </w:drawing>
      </w:r>
      <w:r>
        <w:rPr>
          <w:rFonts w:hint="eastAsia" w:cs="宋体"/>
          <w:color w:val="00D100"/>
          <w:sz w:val="27"/>
          <w:szCs w:val="27"/>
        </w:rPr>
        <w:t>02</w:t>
      </w:r>
      <w:r>
        <w:rPr>
          <w:rFonts w:hint="eastAsia" w:cs="宋体"/>
          <w:b/>
          <w:bCs/>
          <w:color w:val="00D100"/>
          <w:sz w:val="27"/>
          <w:szCs w:val="27"/>
        </w:rPr>
        <w:t>技术参数</w:t>
      </w:r>
      <w:r>
        <w:rPr>
          <w:rFonts w:ascii="宋体" w:hAnsi="宋体" w:eastAsia="宋体" w:cs="宋体"/>
          <w:sz w:val="24"/>
          <w:szCs w:val="24"/>
        </w:rPr>
        <w:drawing>
          <wp:inline distT="0" distB="0" distL="0" distR="0">
            <wp:extent cx="285750" cy="257175"/>
            <wp:effectExtent l="0" t="0" r="0" b="9525"/>
            <wp:docPr id="14" name="图片 1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5750" cy="257175"/>
                    </a:xfrm>
                    <a:prstGeom prst="rect">
                      <a:avLst/>
                    </a:prstGeom>
                    <a:noFill/>
                    <a:ln>
                      <a:noFill/>
                    </a:ln>
                  </pic:spPr>
                </pic:pic>
              </a:graphicData>
            </a:graphic>
          </wp:inline>
        </w:drawing>
      </w:r>
    </w:p>
    <w:p>
      <w:pPr>
        <w:shd w:val="clear" w:color="auto" w:fill="FFFFFF"/>
        <w:adjustRightInd/>
        <w:snapToGrid/>
        <w:spacing w:line="240" w:lineRule="auto"/>
        <w:ind w:right="150"/>
        <w:rPr>
          <w:rFonts w:ascii="Microsoft YaHei UI" w:hAnsi="Microsoft YaHei UI" w:eastAsia="Microsoft YaHei UI" w:cs="宋体"/>
          <w:color w:val="9DD3DC"/>
          <w:spacing w:val="9"/>
          <w:sz w:val="26"/>
          <w:szCs w:val="26"/>
        </w:rPr>
      </w:pPr>
      <w:r>
        <w:rPr>
          <w:rFonts w:hint="eastAsia" w:cs="宋体"/>
          <w:b/>
          <w:bCs/>
          <w:color w:val="333333"/>
          <w:spacing w:val="9"/>
          <w:sz w:val="27"/>
          <w:szCs w:val="27"/>
        </w:rPr>
        <w:t>液相部分</w:t>
      </w:r>
    </w:p>
    <w:p>
      <w:pPr>
        <w:shd w:val="clear" w:color="auto" w:fill="FFFFFF"/>
        <w:adjustRightInd/>
        <w:snapToGrid/>
        <w:spacing w:line="240" w:lineRule="auto"/>
        <w:ind w:right="150"/>
        <w:rPr>
          <w:rFonts w:hint="eastAsia" w:ascii="Microsoft YaHei UI" w:hAnsi="Microsoft YaHei UI" w:eastAsia="Microsoft YaHei UI" w:cs="宋体"/>
          <w:color w:val="9DD3DC"/>
          <w:spacing w:val="9"/>
          <w:sz w:val="26"/>
          <w:szCs w:val="26"/>
        </w:rPr>
      </w:pPr>
      <w:r>
        <w:rPr>
          <w:rFonts w:hint="eastAsia" w:cs="宋体"/>
          <w:color w:val="333333"/>
          <w:spacing w:val="9"/>
          <w:sz w:val="27"/>
          <w:szCs w:val="27"/>
        </w:rPr>
        <w:t>超高压二元泵：最大耐压19000psi，流速0.1ml~5ml/min；进样范围：0.01uL~100uL，样品瓶位数120位；柱温箱：4~40℃，检测器：DAD二极管阵列检测器190~800nm。</w:t>
      </w:r>
    </w:p>
    <w:p>
      <w:pPr>
        <w:shd w:val="clear" w:color="auto" w:fill="FFFFFF"/>
        <w:adjustRightInd/>
        <w:snapToGrid/>
        <w:spacing w:line="240" w:lineRule="auto"/>
        <w:ind w:right="150"/>
        <w:rPr>
          <w:rFonts w:hint="eastAsia" w:ascii="Microsoft YaHei UI" w:hAnsi="Microsoft YaHei UI" w:eastAsia="Microsoft YaHei UI" w:cs="宋体"/>
          <w:color w:val="9DD3DC"/>
          <w:spacing w:val="9"/>
          <w:sz w:val="26"/>
          <w:szCs w:val="26"/>
        </w:rPr>
      </w:pPr>
      <w:r>
        <w:rPr>
          <w:rFonts w:hint="eastAsia" w:cs="宋体"/>
          <w:b/>
          <w:bCs/>
          <w:color w:val="000000"/>
          <w:spacing w:val="9"/>
          <w:sz w:val="27"/>
          <w:szCs w:val="27"/>
        </w:rPr>
        <w:t>质谱部分</w:t>
      </w:r>
    </w:p>
    <w:p>
      <w:pPr>
        <w:shd w:val="clear" w:color="auto" w:fill="FFFFFF"/>
        <w:adjustRightInd/>
        <w:snapToGrid/>
        <w:spacing w:line="240" w:lineRule="auto"/>
        <w:rPr>
          <w:rFonts w:hint="eastAsia" w:ascii="Microsoft YaHei UI" w:hAnsi="Microsoft YaHei UI" w:eastAsia="Microsoft YaHei UI" w:cs="宋体"/>
          <w:color w:val="9DD3DC"/>
          <w:spacing w:val="9"/>
          <w:sz w:val="26"/>
          <w:szCs w:val="26"/>
        </w:rPr>
      </w:pPr>
      <w:r>
        <w:rPr>
          <w:rFonts w:hint="eastAsia" w:cs="宋体"/>
          <w:color w:val="000000"/>
          <w:spacing w:val="9"/>
          <w:sz w:val="27"/>
          <w:szCs w:val="27"/>
        </w:rPr>
        <w:t>检测范围：5-2000 amu；四级杆扫描速度：12000u/s；灵敏度：在血浆基质中，0.01ppb氯霉素，信噪比S/N≥20；分辨率：分辨率＞6000（扫描速度为50amu/s时）；扫描功能：Q1 MS、Q3 MS、子离子、母离子、中性缺失或增益、MRM；数据分析：MultiQuant 数据处理软件。</w:t>
      </w:r>
    </w:p>
    <w:p>
      <w:pPr>
        <w:adjustRightInd/>
        <w:snapToGrid/>
        <w:spacing w:line="240" w:lineRule="auto"/>
        <w:rPr>
          <w:rFonts w:hint="eastAsia" w:ascii="宋体" w:hAnsi="宋体" w:eastAsia="宋体" w:cs="宋体"/>
          <w:sz w:val="24"/>
          <w:szCs w:val="24"/>
        </w:rPr>
      </w:pPr>
      <w:r>
        <w:rPr>
          <w:rFonts w:ascii="宋体" w:hAnsi="宋体" w:eastAsia="宋体" w:cs="宋体"/>
          <w:sz w:val="24"/>
          <w:szCs w:val="24"/>
        </w:rPr>
        <w:drawing>
          <wp:inline distT="0" distB="0" distL="0" distR="0">
            <wp:extent cx="285750" cy="257175"/>
            <wp:effectExtent l="0" t="0" r="0" b="9525"/>
            <wp:docPr id="13" name="图片 1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5750" cy="257175"/>
                    </a:xfrm>
                    <a:prstGeom prst="rect">
                      <a:avLst/>
                    </a:prstGeom>
                    <a:noFill/>
                    <a:ln>
                      <a:noFill/>
                    </a:ln>
                  </pic:spPr>
                </pic:pic>
              </a:graphicData>
            </a:graphic>
          </wp:inline>
        </w:drawing>
      </w:r>
      <w:r>
        <w:rPr>
          <w:rFonts w:hint="eastAsia" w:cs="宋体"/>
          <w:b/>
          <w:bCs/>
          <w:sz w:val="27"/>
          <w:szCs w:val="27"/>
        </w:rPr>
        <w:t>03应用举例</w:t>
      </w:r>
      <w:r>
        <w:rPr>
          <w:rFonts w:ascii="宋体" w:hAnsi="宋体" w:eastAsia="宋体" w:cs="宋体"/>
          <w:sz w:val="24"/>
          <w:szCs w:val="24"/>
        </w:rPr>
        <w:drawing>
          <wp:inline distT="0" distB="0" distL="0" distR="0">
            <wp:extent cx="285750" cy="257175"/>
            <wp:effectExtent l="0" t="0" r="0" b="9525"/>
            <wp:docPr id="12"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5750" cy="257175"/>
                    </a:xfrm>
                    <a:prstGeom prst="rect">
                      <a:avLst/>
                    </a:prstGeom>
                    <a:noFill/>
                    <a:ln>
                      <a:noFill/>
                    </a:ln>
                  </pic:spPr>
                </pic:pic>
              </a:graphicData>
            </a:graphic>
          </wp:inline>
        </w:drawing>
      </w:r>
    </w:p>
    <w:p>
      <w:pPr>
        <w:shd w:val="clear" w:color="auto" w:fill="FFFFFF"/>
        <w:adjustRightInd/>
        <w:snapToGrid/>
        <w:spacing w:line="240" w:lineRule="auto"/>
        <w:ind w:right="150"/>
        <w:rPr>
          <w:rFonts w:ascii="Microsoft YaHei UI" w:hAnsi="Microsoft YaHei UI" w:eastAsia="Microsoft YaHei UI" w:cs="宋体"/>
          <w:color w:val="9DD3DC"/>
          <w:spacing w:val="9"/>
          <w:sz w:val="26"/>
          <w:szCs w:val="26"/>
        </w:rPr>
      </w:pPr>
      <w:r>
        <w:rPr>
          <w:rFonts w:hint="eastAsia" w:cs="宋体"/>
          <w:b/>
          <w:bCs/>
          <w:color w:val="000000"/>
          <w:spacing w:val="9"/>
          <w:sz w:val="27"/>
          <w:szCs w:val="27"/>
        </w:rPr>
        <w:t>A化合物低分辨分子量测定和液质联用</w:t>
      </w:r>
    </w:p>
    <w:p>
      <w:pPr>
        <w:shd w:val="clear" w:color="auto" w:fill="FFFFFF"/>
        <w:adjustRightInd/>
        <w:snapToGrid/>
        <w:spacing w:line="240" w:lineRule="auto"/>
        <w:ind w:right="135" w:firstLine="540"/>
        <w:rPr>
          <w:rFonts w:hint="eastAsia" w:ascii="Microsoft YaHei UI" w:hAnsi="Microsoft YaHei UI" w:eastAsia="Microsoft YaHei UI" w:cs="宋体"/>
          <w:color w:val="9DD3DC"/>
          <w:spacing w:val="9"/>
          <w:sz w:val="26"/>
          <w:szCs w:val="26"/>
        </w:rPr>
      </w:pPr>
      <w:r>
        <w:rPr>
          <w:rFonts w:hint="eastAsia" w:cs="宋体"/>
          <w:color w:val="333333"/>
          <w:spacing w:val="9"/>
          <w:sz w:val="27"/>
          <w:szCs w:val="27"/>
        </w:rPr>
        <w:t>对单体化合物的分子量进行测定，用于化合物半定性；对复杂体系进行液质联用分析，配备紫外</w:t>
      </w:r>
      <w:r>
        <w:rPr>
          <w:rFonts w:hint="eastAsia" w:cs="宋体"/>
          <w:b/>
          <w:bCs/>
          <w:color w:val="333333"/>
          <w:spacing w:val="9"/>
          <w:sz w:val="27"/>
          <w:szCs w:val="27"/>
        </w:rPr>
        <w:t>DAD</w:t>
      </w:r>
      <w:r>
        <w:rPr>
          <w:rFonts w:hint="eastAsia" w:cs="宋体"/>
          <w:color w:val="333333"/>
          <w:spacing w:val="9"/>
          <w:sz w:val="27"/>
          <w:szCs w:val="27"/>
        </w:rPr>
        <w:t>和</w:t>
      </w:r>
      <w:r>
        <w:rPr>
          <w:rFonts w:hint="eastAsia" w:cs="宋体"/>
          <w:b/>
          <w:bCs/>
          <w:color w:val="333333"/>
          <w:spacing w:val="9"/>
          <w:sz w:val="27"/>
          <w:szCs w:val="27"/>
        </w:rPr>
        <w:t>MS</w:t>
      </w:r>
      <w:r>
        <w:rPr>
          <w:rFonts w:hint="eastAsia" w:cs="宋体"/>
          <w:color w:val="333333"/>
          <w:spacing w:val="9"/>
          <w:sz w:val="27"/>
          <w:szCs w:val="27"/>
        </w:rPr>
        <w:t>两种检测器，非常适合用于在</w:t>
      </w:r>
      <w:r>
        <w:rPr>
          <w:rFonts w:hint="eastAsia" w:cs="宋体"/>
          <w:b/>
          <w:bCs/>
          <w:color w:val="333333"/>
          <w:spacing w:val="9"/>
          <w:sz w:val="27"/>
          <w:szCs w:val="27"/>
        </w:rPr>
        <w:t>提取分离过程中目标化合物的追踪</w:t>
      </w:r>
      <w:r>
        <w:rPr>
          <w:rFonts w:hint="eastAsia" w:cs="宋体"/>
          <w:color w:val="333333"/>
          <w:spacing w:val="9"/>
          <w:sz w:val="27"/>
          <w:szCs w:val="27"/>
        </w:rPr>
        <w:t>以及</w:t>
      </w:r>
      <w:r>
        <w:rPr>
          <w:rFonts w:hint="eastAsia" w:cs="宋体"/>
          <w:b/>
          <w:bCs/>
          <w:color w:val="333333"/>
          <w:spacing w:val="9"/>
          <w:sz w:val="27"/>
          <w:szCs w:val="27"/>
        </w:rPr>
        <w:t>合成反应中反应进程的监测</w:t>
      </w:r>
      <w:r>
        <w:rPr>
          <w:rFonts w:hint="eastAsia" w:cs="宋体"/>
          <w:color w:val="333333"/>
          <w:spacing w:val="9"/>
          <w:sz w:val="27"/>
          <w:szCs w:val="27"/>
        </w:rPr>
        <w:t>，相对于高分辨液质联用来说，3500</w:t>
      </w:r>
      <w:r>
        <w:rPr>
          <w:rFonts w:hint="eastAsia" w:cs="宋体"/>
          <w:b/>
          <w:bCs/>
          <w:color w:val="333333"/>
          <w:spacing w:val="9"/>
          <w:sz w:val="27"/>
          <w:szCs w:val="27"/>
        </w:rPr>
        <w:t>性价比超高</w:t>
      </w:r>
      <w:r>
        <w:rPr>
          <w:rFonts w:hint="eastAsia" w:cs="宋体"/>
          <w:color w:val="333333"/>
          <w:spacing w:val="9"/>
          <w:sz w:val="27"/>
          <w:szCs w:val="27"/>
        </w:rPr>
        <w:t>！</w:t>
      </w:r>
    </w:p>
    <w:p>
      <w:pPr>
        <w:shd w:val="clear" w:color="auto" w:fill="FFFFFF"/>
        <w:adjustRightInd/>
        <w:snapToGrid/>
        <w:spacing w:before="165" w:line="240" w:lineRule="auto"/>
        <w:ind w:right="150"/>
        <w:jc w:val="center"/>
        <w:rPr>
          <w:rFonts w:hint="eastAsia" w:ascii="Microsoft YaHei UI" w:hAnsi="Microsoft YaHei UI" w:eastAsia="Microsoft YaHei UI" w:cs="宋体"/>
          <w:color w:val="9DD3DC"/>
          <w:spacing w:val="9"/>
          <w:sz w:val="26"/>
          <w:szCs w:val="26"/>
        </w:rPr>
      </w:pPr>
      <w:r>
        <w:rPr>
          <w:rFonts w:ascii="Microsoft YaHei UI" w:hAnsi="Microsoft YaHei UI" w:eastAsia="Microsoft YaHei UI" w:cs="宋体"/>
          <w:color w:val="9DD3DC"/>
          <w:spacing w:val="9"/>
          <w:sz w:val="26"/>
          <w:szCs w:val="26"/>
        </w:rPr>
        <w:drawing>
          <wp:inline distT="0" distB="0" distL="0" distR="0">
            <wp:extent cx="5543550" cy="1473835"/>
            <wp:effectExtent l="0" t="0" r="0" b="0"/>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543550" cy="1473835"/>
                    </a:xfrm>
                    <a:prstGeom prst="rect">
                      <a:avLst/>
                    </a:prstGeom>
                    <a:noFill/>
                    <a:ln>
                      <a:noFill/>
                    </a:ln>
                  </pic:spPr>
                </pic:pic>
              </a:graphicData>
            </a:graphic>
          </wp:inline>
        </w:drawing>
      </w:r>
    </w:p>
    <w:p>
      <w:pPr>
        <w:shd w:val="clear" w:color="auto" w:fill="FFFFFF"/>
        <w:adjustRightInd/>
        <w:snapToGrid/>
        <w:spacing w:before="165" w:line="240" w:lineRule="auto"/>
        <w:ind w:right="150"/>
        <w:jc w:val="center"/>
        <w:rPr>
          <w:rFonts w:hint="eastAsia" w:ascii="Microsoft YaHei UI" w:hAnsi="Microsoft YaHei UI" w:eastAsia="Microsoft YaHei UI" w:cs="宋体"/>
          <w:color w:val="9DD3DC"/>
          <w:spacing w:val="9"/>
          <w:sz w:val="26"/>
          <w:szCs w:val="26"/>
        </w:rPr>
      </w:pPr>
      <w:r>
        <w:rPr>
          <w:rFonts w:ascii="Microsoft YaHei UI" w:hAnsi="Microsoft YaHei UI" w:eastAsia="Microsoft YaHei UI" w:cs="宋体"/>
          <w:color w:val="9DD3DC"/>
          <w:spacing w:val="9"/>
          <w:sz w:val="26"/>
          <w:szCs w:val="26"/>
        </w:rPr>
        <w:drawing>
          <wp:inline distT="0" distB="0" distL="0" distR="0">
            <wp:extent cx="5543550" cy="1569085"/>
            <wp:effectExtent l="0" t="0" r="0" b="0"/>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43550" cy="1569085"/>
                    </a:xfrm>
                    <a:prstGeom prst="rect">
                      <a:avLst/>
                    </a:prstGeom>
                    <a:noFill/>
                    <a:ln>
                      <a:noFill/>
                    </a:ln>
                  </pic:spPr>
                </pic:pic>
              </a:graphicData>
            </a:graphic>
          </wp:inline>
        </w:drawing>
      </w:r>
    </w:p>
    <w:p>
      <w:pPr>
        <w:shd w:val="clear" w:color="auto" w:fill="FFFFFF"/>
        <w:adjustRightInd/>
        <w:snapToGrid/>
        <w:spacing w:line="240" w:lineRule="auto"/>
        <w:ind w:right="150"/>
        <w:jc w:val="center"/>
        <w:rPr>
          <w:rFonts w:hint="eastAsia" w:ascii="Microsoft YaHei UI" w:hAnsi="Microsoft YaHei UI" w:eastAsia="Microsoft YaHei UI" w:cs="宋体"/>
          <w:color w:val="9DD3DC"/>
          <w:spacing w:val="9"/>
          <w:sz w:val="26"/>
          <w:szCs w:val="26"/>
        </w:rPr>
      </w:pPr>
      <w:r>
        <w:rPr>
          <w:rFonts w:hint="eastAsia" w:ascii="Microsoft YaHei UI" w:hAnsi="Microsoft YaHei UI" w:eastAsia="Microsoft YaHei UI" w:cs="宋体"/>
          <w:color w:val="000000"/>
          <w:spacing w:val="9"/>
          <w:sz w:val="26"/>
          <w:szCs w:val="26"/>
        </w:rPr>
        <w:t>图1液质联用TIC/XIC图谱</w:t>
      </w:r>
    </w:p>
    <w:p>
      <w:pPr>
        <w:shd w:val="clear" w:color="auto" w:fill="FFFFFF"/>
        <w:adjustRightInd/>
        <w:snapToGrid/>
        <w:spacing w:line="240" w:lineRule="auto"/>
        <w:ind w:right="135"/>
        <w:jc w:val="center"/>
        <w:rPr>
          <w:rFonts w:hint="eastAsia" w:ascii="Microsoft YaHei UI" w:hAnsi="Microsoft YaHei UI" w:eastAsia="Microsoft YaHei UI" w:cs="宋体"/>
          <w:color w:val="9DD3DC"/>
          <w:spacing w:val="9"/>
          <w:sz w:val="26"/>
          <w:szCs w:val="26"/>
        </w:rPr>
      </w:pPr>
      <w:r>
        <w:rPr>
          <w:rFonts w:cs="宋体"/>
          <w:color w:val="333333"/>
          <w:spacing w:val="9"/>
          <w:sz w:val="27"/>
          <w:szCs w:val="27"/>
        </w:rPr>
        <w:drawing>
          <wp:inline distT="0" distB="0" distL="0" distR="0">
            <wp:extent cx="5543550" cy="1233805"/>
            <wp:effectExtent l="0" t="0" r="0" b="4445"/>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43550" cy="1233805"/>
                    </a:xfrm>
                    <a:prstGeom prst="rect">
                      <a:avLst/>
                    </a:prstGeom>
                    <a:noFill/>
                    <a:ln>
                      <a:noFill/>
                    </a:ln>
                  </pic:spPr>
                </pic:pic>
              </a:graphicData>
            </a:graphic>
          </wp:inline>
        </w:drawing>
      </w:r>
    </w:p>
    <w:p>
      <w:pPr>
        <w:shd w:val="clear" w:color="auto" w:fill="FFFFFF"/>
        <w:adjustRightInd/>
        <w:snapToGrid/>
        <w:spacing w:before="168" w:line="240" w:lineRule="auto"/>
        <w:ind w:right="144"/>
        <w:jc w:val="center"/>
        <w:rPr>
          <w:rFonts w:hint="eastAsia" w:ascii="Microsoft YaHei UI" w:hAnsi="Microsoft YaHei UI" w:eastAsia="Microsoft YaHei UI" w:cs="宋体"/>
          <w:color w:val="9DD3DC"/>
          <w:spacing w:val="9"/>
          <w:sz w:val="26"/>
          <w:szCs w:val="26"/>
        </w:rPr>
      </w:pPr>
      <w:r>
        <w:rPr>
          <w:rFonts w:ascii="Microsoft YaHei UI" w:hAnsi="Microsoft YaHei UI" w:eastAsia="Microsoft YaHei UI" w:cs="宋体"/>
          <w:color w:val="9DD3DC"/>
          <w:spacing w:val="9"/>
          <w:sz w:val="26"/>
          <w:szCs w:val="26"/>
        </w:rPr>
        <w:drawing>
          <wp:inline distT="0" distB="0" distL="0" distR="0">
            <wp:extent cx="5543550" cy="1336040"/>
            <wp:effectExtent l="0" t="0" r="0" b="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43550" cy="1336040"/>
                    </a:xfrm>
                    <a:prstGeom prst="rect">
                      <a:avLst/>
                    </a:prstGeom>
                    <a:noFill/>
                    <a:ln>
                      <a:noFill/>
                    </a:ln>
                  </pic:spPr>
                </pic:pic>
              </a:graphicData>
            </a:graphic>
          </wp:inline>
        </w:drawing>
      </w:r>
    </w:p>
    <w:p>
      <w:pPr>
        <w:shd w:val="clear" w:color="auto" w:fill="FFFFFF"/>
        <w:adjustRightInd/>
        <w:snapToGrid/>
        <w:spacing w:before="168" w:line="240" w:lineRule="auto"/>
        <w:ind w:right="144"/>
        <w:jc w:val="center"/>
        <w:rPr>
          <w:rFonts w:hint="eastAsia" w:ascii="Microsoft YaHei UI" w:hAnsi="Microsoft YaHei UI" w:eastAsia="Microsoft YaHei UI" w:cs="宋体"/>
          <w:color w:val="9DD3DC"/>
          <w:spacing w:val="9"/>
          <w:sz w:val="26"/>
          <w:szCs w:val="26"/>
        </w:rPr>
      </w:pPr>
      <w:r>
        <w:rPr>
          <w:rFonts w:ascii="Microsoft YaHei UI" w:hAnsi="Microsoft YaHei UI" w:eastAsia="Microsoft YaHei UI" w:cs="宋体"/>
          <w:color w:val="9DD3DC"/>
          <w:spacing w:val="9"/>
          <w:sz w:val="26"/>
          <w:szCs w:val="26"/>
        </w:rPr>
        <w:drawing>
          <wp:inline distT="0" distB="0" distL="0" distR="0">
            <wp:extent cx="5543550" cy="1108710"/>
            <wp:effectExtent l="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543550" cy="1108710"/>
                    </a:xfrm>
                    <a:prstGeom prst="rect">
                      <a:avLst/>
                    </a:prstGeom>
                    <a:noFill/>
                    <a:ln>
                      <a:noFill/>
                    </a:ln>
                  </pic:spPr>
                </pic:pic>
              </a:graphicData>
            </a:graphic>
          </wp:inline>
        </w:drawing>
      </w:r>
    </w:p>
    <w:p>
      <w:pPr>
        <w:shd w:val="clear" w:color="auto" w:fill="FFFFFF"/>
        <w:adjustRightInd/>
        <w:snapToGrid/>
        <w:spacing w:line="240" w:lineRule="auto"/>
        <w:jc w:val="center"/>
        <w:rPr>
          <w:rFonts w:hint="eastAsia" w:ascii="Microsoft YaHei UI" w:hAnsi="Microsoft YaHei UI" w:eastAsia="Microsoft YaHei UI" w:cs="宋体"/>
          <w:color w:val="9DD3DC"/>
          <w:spacing w:val="9"/>
          <w:sz w:val="26"/>
          <w:szCs w:val="26"/>
        </w:rPr>
      </w:pPr>
      <w:r>
        <w:rPr>
          <w:rFonts w:hint="eastAsia" w:ascii="Microsoft YaHei UI" w:hAnsi="Microsoft YaHei UI" w:eastAsia="Microsoft YaHei UI" w:cs="宋体"/>
          <w:color w:val="000000"/>
          <w:spacing w:val="9"/>
          <w:sz w:val="26"/>
          <w:szCs w:val="26"/>
        </w:rPr>
        <w:t>图2 低分辩分子量测试图谱（TIC/XIC/DAD）</w:t>
      </w:r>
    </w:p>
    <w:p>
      <w:pPr>
        <w:shd w:val="clear" w:color="auto" w:fill="FFFFFF"/>
        <w:adjustRightInd/>
        <w:snapToGrid/>
        <w:spacing w:line="240" w:lineRule="auto"/>
        <w:ind w:right="144"/>
        <w:rPr>
          <w:rFonts w:hint="eastAsia" w:ascii="Microsoft YaHei UI" w:hAnsi="Microsoft YaHei UI" w:eastAsia="Microsoft YaHei UI" w:cs="宋体"/>
          <w:color w:val="9DD3DC"/>
          <w:spacing w:val="9"/>
          <w:sz w:val="26"/>
          <w:szCs w:val="26"/>
        </w:rPr>
      </w:pPr>
      <w:r>
        <w:rPr>
          <w:rFonts w:hint="eastAsia" w:cs="宋体"/>
          <w:b/>
          <w:bCs/>
          <w:color w:val="000000"/>
          <w:spacing w:val="9"/>
          <w:sz w:val="27"/>
          <w:szCs w:val="27"/>
        </w:rPr>
        <w:t>B药代动力学ADME</w:t>
      </w:r>
    </w:p>
    <w:p>
      <w:pPr>
        <w:shd w:val="clear" w:color="auto" w:fill="FFFFFF"/>
        <w:adjustRightInd/>
        <w:snapToGrid/>
        <w:spacing w:line="240" w:lineRule="auto"/>
        <w:rPr>
          <w:rFonts w:hint="eastAsia" w:ascii="Microsoft YaHei UI" w:hAnsi="Microsoft YaHei UI" w:eastAsia="Microsoft YaHei UI" w:cs="宋体"/>
          <w:color w:val="9DD3DC"/>
          <w:spacing w:val="9"/>
          <w:sz w:val="26"/>
          <w:szCs w:val="26"/>
        </w:rPr>
      </w:pPr>
      <w:r>
        <w:rPr>
          <w:rFonts w:ascii="Calibri" w:hAnsi="Calibri" w:cs="Calibri"/>
          <w:color w:val="000000"/>
          <w:spacing w:val="9"/>
          <w:sz w:val="27"/>
          <w:szCs w:val="27"/>
        </w:rPr>
        <w:t> </w:t>
      </w:r>
      <w:r>
        <w:rPr>
          <w:rFonts w:hint="eastAsia" w:cs="宋体"/>
          <w:color w:val="000000"/>
          <w:spacing w:val="9"/>
          <w:sz w:val="27"/>
          <w:szCs w:val="27"/>
        </w:rPr>
        <w:t xml:space="preserve"> </w:t>
      </w:r>
      <w:r>
        <w:rPr>
          <w:rFonts w:ascii="Calibri" w:hAnsi="Calibri" w:cs="Calibri"/>
          <w:color w:val="000000"/>
          <w:spacing w:val="9"/>
          <w:sz w:val="27"/>
          <w:szCs w:val="27"/>
        </w:rPr>
        <w:t> </w:t>
      </w:r>
      <w:r>
        <w:rPr>
          <w:rFonts w:hint="eastAsia" w:cs="宋体"/>
          <w:color w:val="000000"/>
          <w:spacing w:val="9"/>
          <w:sz w:val="27"/>
          <w:szCs w:val="27"/>
        </w:rPr>
        <w:t xml:space="preserve"> 采用HPLC/UPLC色谱技术对目标化合物进行快速分离，结合三重四极杆独有的多反应监测模式(MRM)，优化目标化合物的质谱参数和用于定量分析的离子对，对基质组成复杂的生物样品中含量较低的目标化合物进行含量测定，得到相关药代动力学参数和药时曲线等。</w:t>
      </w:r>
    </w:p>
    <w:p>
      <w:pPr>
        <w:shd w:val="clear" w:color="auto" w:fill="FFFFFF"/>
        <w:adjustRightInd/>
        <w:snapToGrid/>
        <w:spacing w:line="240" w:lineRule="auto"/>
        <w:jc w:val="center"/>
        <w:rPr>
          <w:rFonts w:hint="eastAsia" w:ascii="Microsoft YaHei UI" w:hAnsi="Microsoft YaHei UI" w:eastAsia="Microsoft YaHei UI" w:cs="宋体"/>
          <w:color w:val="9DD3DC"/>
          <w:spacing w:val="9"/>
          <w:sz w:val="26"/>
          <w:szCs w:val="26"/>
        </w:rPr>
      </w:pPr>
      <w:r>
        <w:rPr>
          <w:rFonts w:ascii="仿宋" w:hAnsi="仿宋" w:eastAsia="仿宋" w:cs="Times New Roman"/>
          <w:color w:val="333333"/>
          <w:sz w:val="27"/>
          <w:szCs w:val="27"/>
        </w:rPr>
        <w:drawing>
          <wp:inline distT="0" distB="0" distL="114300" distR="114300">
            <wp:extent cx="1019175" cy="1028700"/>
            <wp:effectExtent l="0" t="0" r="9525" b="0"/>
            <wp:docPr id="3"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57"/>
                    <pic:cNvPicPr>
                      <a:picLocks noChangeAspect="1"/>
                    </pic:cNvPicPr>
                  </pic:nvPicPr>
                  <pic:blipFill>
                    <a:blip r:embed="rId13"/>
                    <a:stretch>
                      <a:fillRect/>
                    </a:stretch>
                  </pic:blipFill>
                  <pic:spPr>
                    <a:xfrm>
                      <a:off x="0" y="0"/>
                      <a:ext cx="1019175" cy="1028700"/>
                    </a:xfrm>
                    <a:prstGeom prst="rect">
                      <a:avLst/>
                    </a:prstGeom>
                    <a:noFill/>
                    <a:ln w="9525">
                      <a:noFill/>
                    </a:ln>
                  </pic:spPr>
                </pic:pic>
              </a:graphicData>
            </a:graphic>
          </wp:inline>
        </w:drawing>
      </w:r>
    </w:p>
    <w:p>
      <w:pPr>
        <w:adjustRightInd/>
        <w:snapToGrid/>
        <w:spacing w:line="240" w:lineRule="auto"/>
        <w:jc w:val="center"/>
        <w:rPr>
          <w:rFonts w:ascii="Microsoft YaHei UI" w:hAnsi="Microsoft YaHei UI" w:eastAsia="Microsoft YaHei UI" w:cs="宋体"/>
          <w:color w:val="9DD3DC"/>
          <w:spacing w:val="9"/>
          <w:sz w:val="26"/>
          <w:szCs w:val="26"/>
        </w:rPr>
      </w:pPr>
      <w:r>
        <w:rPr>
          <w:rFonts w:ascii="仿宋" w:hAnsi="仿宋" w:eastAsia="仿宋" w:cs="Times New Roman"/>
          <w:color w:val="333333"/>
          <w:sz w:val="27"/>
          <w:szCs w:val="27"/>
        </w:rPr>
        <w:drawing>
          <wp:inline distT="0" distB="0" distL="114300" distR="114300">
            <wp:extent cx="2143125" cy="685800"/>
            <wp:effectExtent l="0" t="0" r="9525" b="0"/>
            <wp:docPr id="5" name="图片 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8"/>
                    <pic:cNvPicPr>
                      <a:picLocks noChangeAspect="1"/>
                    </pic:cNvPicPr>
                  </pic:nvPicPr>
                  <pic:blipFill>
                    <a:blip r:embed="rId14"/>
                    <a:stretch>
                      <a:fillRect/>
                    </a:stretch>
                  </pic:blipFill>
                  <pic:spPr>
                    <a:xfrm>
                      <a:off x="0" y="0"/>
                      <a:ext cx="2143125" cy="685800"/>
                    </a:xfrm>
                    <a:prstGeom prst="rect">
                      <a:avLst/>
                    </a:prstGeom>
                    <a:noFill/>
                    <a:ln w="9525">
                      <a:noFill/>
                    </a:ln>
                  </pic:spPr>
                </pic:pic>
              </a:graphicData>
            </a:graphic>
          </wp:inline>
        </w:drawing>
      </w:r>
    </w:p>
    <w:p>
      <w:pPr>
        <w:shd w:val="clear" w:color="auto" w:fill="FFFFFF"/>
        <w:adjustRightInd/>
        <w:snapToGrid/>
        <w:spacing w:line="240" w:lineRule="auto"/>
        <w:jc w:val="center"/>
        <w:rPr>
          <w:rFonts w:hint="eastAsia" w:ascii="Microsoft YaHei UI" w:hAnsi="Microsoft YaHei UI" w:eastAsia="Microsoft YaHei UI" w:cs="宋体"/>
          <w:color w:val="9DD3DC"/>
          <w:spacing w:val="9"/>
          <w:sz w:val="26"/>
          <w:szCs w:val="26"/>
        </w:rPr>
      </w:pPr>
      <w:r>
        <w:rPr>
          <w:rFonts w:hint="eastAsia" w:ascii="Microsoft YaHei UI" w:hAnsi="Microsoft YaHei UI" w:eastAsia="Microsoft YaHei UI" w:cs="宋体"/>
          <w:color w:val="000000"/>
          <w:spacing w:val="9"/>
          <w:sz w:val="26"/>
          <w:szCs w:val="26"/>
        </w:rPr>
        <w:t>图3 药时曲线图</w:t>
      </w:r>
    </w:p>
    <w:p>
      <w:pPr>
        <w:shd w:val="clear" w:color="auto" w:fill="FFFFFF"/>
        <w:adjustRightInd/>
        <w:snapToGrid/>
        <w:spacing w:line="240" w:lineRule="auto"/>
        <w:ind w:right="150"/>
        <w:rPr>
          <w:rFonts w:hint="eastAsia" w:ascii="Microsoft YaHei UI" w:hAnsi="Microsoft YaHei UI" w:eastAsia="Microsoft YaHei UI" w:cs="宋体"/>
          <w:color w:val="9DD3DC"/>
          <w:spacing w:val="9"/>
          <w:sz w:val="26"/>
          <w:szCs w:val="26"/>
        </w:rPr>
      </w:pPr>
      <w:r>
        <w:rPr>
          <w:rFonts w:hint="eastAsia" w:cs="宋体"/>
          <w:b/>
          <w:bCs/>
          <w:color w:val="333333"/>
          <w:spacing w:val="9"/>
          <w:sz w:val="27"/>
          <w:szCs w:val="27"/>
        </w:rPr>
        <w:t>C复杂中药样品体系中多组分同时定量分析</w:t>
      </w:r>
    </w:p>
    <w:p>
      <w:pPr>
        <w:shd w:val="clear" w:color="auto" w:fill="FFFFFF"/>
        <w:adjustRightInd/>
        <w:snapToGrid/>
        <w:spacing w:line="240" w:lineRule="auto"/>
        <w:ind w:right="135" w:firstLine="540"/>
        <w:jc w:val="both"/>
        <w:rPr>
          <w:rFonts w:hint="eastAsia" w:ascii="Microsoft YaHei UI" w:hAnsi="Microsoft YaHei UI" w:eastAsia="Microsoft YaHei UI" w:cs="宋体"/>
          <w:color w:val="9DD3DC"/>
          <w:spacing w:val="9"/>
          <w:sz w:val="26"/>
          <w:szCs w:val="26"/>
        </w:rPr>
      </w:pPr>
      <w:r>
        <w:rPr>
          <w:rFonts w:hint="eastAsia" w:cs="宋体"/>
          <w:color w:val="333333"/>
          <w:spacing w:val="9"/>
          <w:sz w:val="27"/>
          <w:szCs w:val="27"/>
        </w:rPr>
        <w:t>通过较低浓度的对照品建立目标化合物的质谱参数和定量离子对，对复杂中药样品体系中紫外吸收较弱或含量较低的目标化合物实现同时定量分析，可用于比较不同炮制方法、不同工艺、不同前处理方法、不同产地中药材或者中成药中目标化合物的含量测定及比较分析。</w:t>
      </w:r>
      <w:r>
        <w:rPr>
          <w:rFonts w:ascii="Calibri" w:hAnsi="Calibri" w:cs="Calibri"/>
          <w:color w:val="333333"/>
          <w:spacing w:val="9"/>
          <w:sz w:val="27"/>
          <w:szCs w:val="27"/>
        </w:rPr>
        <w:t> </w:t>
      </w:r>
      <w:r>
        <w:rPr>
          <w:rFonts w:hint="eastAsia" w:cs="宋体"/>
          <w:color w:val="333333"/>
          <w:spacing w:val="9"/>
          <w:sz w:val="27"/>
          <w:szCs w:val="27"/>
        </w:rPr>
        <w:t xml:space="preserve"> </w:t>
      </w:r>
      <w:r>
        <w:rPr>
          <w:rFonts w:ascii="Calibri" w:hAnsi="Calibri" w:cs="Calibri"/>
          <w:color w:val="333333"/>
          <w:spacing w:val="9"/>
          <w:sz w:val="27"/>
          <w:szCs w:val="27"/>
        </w:rPr>
        <w:t>  </w:t>
      </w:r>
      <w:r>
        <w:rPr>
          <w:rFonts w:hint="eastAsia" w:cs="宋体"/>
          <w:color w:val="333333"/>
          <w:spacing w:val="9"/>
          <w:sz w:val="27"/>
          <w:szCs w:val="27"/>
        </w:rPr>
        <w:t xml:space="preserve"> </w:t>
      </w:r>
      <w:r>
        <w:rPr>
          <w:rFonts w:ascii="Calibri" w:hAnsi="Calibri" w:cs="Calibri"/>
          <w:color w:val="333333"/>
          <w:spacing w:val="9"/>
          <w:sz w:val="27"/>
          <w:szCs w:val="27"/>
        </w:rPr>
        <w:t> </w:t>
      </w:r>
      <w:r>
        <w:rPr>
          <w:rFonts w:hint="eastAsia" w:cs="宋体"/>
          <w:color w:val="333333"/>
          <w:spacing w:val="9"/>
          <w:sz w:val="27"/>
          <w:szCs w:val="27"/>
        </w:rPr>
        <w:t xml:space="preserve"> </w:t>
      </w:r>
      <w:r>
        <w:rPr>
          <w:rFonts w:ascii="Calibri" w:hAnsi="Calibri" w:cs="Calibri"/>
          <w:color w:val="333333"/>
          <w:spacing w:val="9"/>
          <w:sz w:val="27"/>
          <w:szCs w:val="27"/>
        </w:rPr>
        <w:t> </w:t>
      </w:r>
      <w:r>
        <w:rPr>
          <w:rFonts w:hint="eastAsia" w:cs="宋体"/>
          <w:color w:val="333333"/>
          <w:spacing w:val="9"/>
          <w:sz w:val="27"/>
          <w:szCs w:val="27"/>
        </w:rPr>
        <w:t xml:space="preserve"> </w:t>
      </w:r>
      <w:r>
        <w:rPr>
          <w:rFonts w:ascii="Calibri" w:hAnsi="Calibri" w:cs="Calibri"/>
          <w:color w:val="333333"/>
          <w:spacing w:val="9"/>
          <w:sz w:val="27"/>
          <w:szCs w:val="27"/>
        </w:rPr>
        <w:t> </w:t>
      </w:r>
    </w:p>
    <w:p>
      <w:pPr>
        <w:shd w:val="clear" w:color="auto" w:fill="FFFFFF"/>
        <w:adjustRightInd/>
        <w:snapToGrid/>
        <w:spacing w:line="240" w:lineRule="auto"/>
        <w:ind w:right="135" w:firstLine="540"/>
        <w:jc w:val="center"/>
        <w:rPr>
          <w:rFonts w:hint="eastAsia" w:ascii="Microsoft YaHei UI" w:hAnsi="Microsoft YaHei UI" w:eastAsia="Microsoft YaHei UI" w:cs="宋体"/>
          <w:color w:val="9DD3DC"/>
          <w:spacing w:val="9"/>
          <w:sz w:val="26"/>
          <w:szCs w:val="26"/>
        </w:rPr>
      </w:pPr>
      <w:r>
        <w:rPr>
          <w:rFonts w:ascii="仿宋" w:hAnsi="仿宋" w:eastAsia="仿宋" w:cs="Times New Roman"/>
          <w:color w:val="333333"/>
          <w:sz w:val="27"/>
          <w:szCs w:val="27"/>
        </w:rPr>
        <w:drawing>
          <wp:inline distT="0" distB="0" distL="114300" distR="114300">
            <wp:extent cx="2933700" cy="1190625"/>
            <wp:effectExtent l="0" t="0" r="0" b="9525"/>
            <wp:docPr id="6" name="图片 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59"/>
                    <pic:cNvPicPr>
                      <a:picLocks noChangeAspect="1"/>
                    </pic:cNvPicPr>
                  </pic:nvPicPr>
                  <pic:blipFill>
                    <a:blip r:embed="rId15"/>
                    <a:stretch>
                      <a:fillRect/>
                    </a:stretch>
                  </pic:blipFill>
                  <pic:spPr>
                    <a:xfrm>
                      <a:off x="0" y="0"/>
                      <a:ext cx="2933700" cy="1190625"/>
                    </a:xfrm>
                    <a:prstGeom prst="rect">
                      <a:avLst/>
                    </a:prstGeom>
                    <a:noFill/>
                    <a:ln w="9525">
                      <a:noFill/>
                    </a:ln>
                  </pic:spPr>
                </pic:pic>
              </a:graphicData>
            </a:graphic>
          </wp:inline>
        </w:drawing>
      </w:r>
    </w:p>
    <w:p>
      <w:pPr>
        <w:shd w:val="clear" w:color="auto" w:fill="FFFFFF"/>
        <w:adjustRightInd/>
        <w:snapToGrid/>
        <w:spacing w:line="240" w:lineRule="auto"/>
        <w:ind w:right="135" w:firstLine="540"/>
        <w:jc w:val="center"/>
        <w:rPr>
          <w:rFonts w:hint="eastAsia" w:ascii="Microsoft YaHei UI" w:hAnsi="Microsoft YaHei UI" w:eastAsia="Microsoft YaHei UI" w:cs="宋体"/>
          <w:color w:val="9DD3DC"/>
          <w:spacing w:val="9"/>
          <w:sz w:val="26"/>
          <w:szCs w:val="26"/>
        </w:rPr>
      </w:pPr>
      <w:r>
        <w:rPr>
          <w:rFonts w:ascii="仿宋" w:hAnsi="仿宋" w:eastAsia="仿宋" w:cs="Times New Roman"/>
          <w:color w:val="333333"/>
          <w:sz w:val="27"/>
          <w:szCs w:val="27"/>
        </w:rPr>
        <w:drawing>
          <wp:inline distT="0" distB="0" distL="114300" distR="114300">
            <wp:extent cx="3238500" cy="971550"/>
            <wp:effectExtent l="0" t="0" r="0" b="0"/>
            <wp:docPr id="20" name="图片 1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IMG_260"/>
                    <pic:cNvPicPr>
                      <a:picLocks noChangeAspect="1"/>
                    </pic:cNvPicPr>
                  </pic:nvPicPr>
                  <pic:blipFill>
                    <a:blip r:embed="rId16"/>
                    <a:stretch>
                      <a:fillRect/>
                    </a:stretch>
                  </pic:blipFill>
                  <pic:spPr>
                    <a:xfrm>
                      <a:off x="0" y="0"/>
                      <a:ext cx="3238500" cy="971550"/>
                    </a:xfrm>
                    <a:prstGeom prst="rect">
                      <a:avLst/>
                    </a:prstGeom>
                    <a:noFill/>
                    <a:ln w="9525">
                      <a:noFill/>
                    </a:ln>
                  </pic:spPr>
                </pic:pic>
              </a:graphicData>
            </a:graphic>
          </wp:inline>
        </w:drawing>
      </w:r>
    </w:p>
    <w:p>
      <w:pPr>
        <w:shd w:val="clear" w:color="auto" w:fill="FFFFFF"/>
        <w:adjustRightInd/>
        <w:snapToGrid/>
        <w:spacing w:line="240" w:lineRule="auto"/>
        <w:ind w:right="135" w:firstLine="540"/>
        <w:jc w:val="center"/>
        <w:rPr>
          <w:rFonts w:hint="eastAsia" w:ascii="Microsoft YaHei UI" w:hAnsi="Microsoft YaHei UI" w:eastAsia="Microsoft YaHei UI" w:cs="宋体"/>
          <w:color w:val="9DD3DC"/>
          <w:spacing w:val="9"/>
          <w:sz w:val="26"/>
          <w:szCs w:val="26"/>
        </w:rPr>
      </w:pPr>
      <w:r>
        <w:rPr>
          <w:rFonts w:hint="eastAsia" w:ascii="Microsoft YaHei UI" w:hAnsi="Microsoft YaHei UI" w:eastAsia="Microsoft YaHei UI" w:cs="宋体"/>
          <w:color w:val="000000"/>
          <w:spacing w:val="9"/>
          <w:sz w:val="26"/>
          <w:szCs w:val="26"/>
        </w:rPr>
        <w:t>图4 离子对信息及供试品TIC图谱</w:t>
      </w:r>
    </w:p>
    <w:p>
      <w:pPr>
        <w:shd w:val="clear" w:color="auto" w:fill="FFFFFF"/>
        <w:adjustRightInd/>
        <w:snapToGrid/>
        <w:spacing w:line="240" w:lineRule="auto"/>
        <w:ind w:right="135" w:firstLine="540"/>
        <w:rPr>
          <w:rFonts w:hint="eastAsia" w:ascii="Microsoft YaHei UI" w:hAnsi="Microsoft YaHei UI" w:eastAsia="Microsoft YaHei UI" w:cs="宋体"/>
          <w:color w:val="9DD3DC"/>
          <w:spacing w:val="9"/>
          <w:sz w:val="26"/>
          <w:szCs w:val="26"/>
        </w:rPr>
      </w:pPr>
      <w:r>
        <w:rPr>
          <w:rFonts w:hint="eastAsia" w:cs="宋体"/>
          <w:color w:val="000000"/>
          <w:spacing w:val="9"/>
          <w:sz w:val="27"/>
          <w:szCs w:val="27"/>
        </w:rPr>
        <w:t>注：所有图谱均为本中心仪器测试实例</w:t>
      </w:r>
    </w:p>
    <w:p>
      <w:pPr>
        <w:ind w:firstLine="241" w:firstLineChars="100"/>
        <w:rPr>
          <w:b/>
          <w:bCs/>
          <w:sz w:val="24"/>
        </w:rPr>
      </w:pPr>
    </w:p>
    <w:p>
      <w:pPr>
        <w:ind w:firstLine="241" w:firstLineChars="100"/>
        <w:rPr>
          <w:b/>
          <w:bCs/>
          <w:sz w:val="24"/>
        </w:rPr>
      </w:pPr>
      <w:r>
        <w:rPr>
          <w:b/>
          <w:bCs/>
          <w:sz w:val="24"/>
        </w:rPr>
        <w:t>A</w:t>
      </w:r>
      <w:r>
        <w:rPr>
          <w:rFonts w:hint="eastAsia"/>
          <w:b/>
          <w:bCs/>
          <w:sz w:val="24"/>
        </w:rPr>
        <w:t>gilent</w:t>
      </w:r>
      <w:r>
        <w:rPr>
          <w:b/>
          <w:bCs/>
          <w:sz w:val="24"/>
        </w:rPr>
        <w:t xml:space="preserve"> </w:t>
      </w:r>
      <w:r>
        <w:rPr>
          <w:rFonts w:hint="eastAsia"/>
          <w:b/>
          <w:bCs/>
          <w:sz w:val="24"/>
        </w:rPr>
        <w:t>1</w:t>
      </w:r>
      <w:r>
        <w:rPr>
          <w:b/>
          <w:bCs/>
          <w:sz w:val="24"/>
        </w:rPr>
        <w:t>200</w:t>
      </w:r>
      <w:r>
        <w:rPr>
          <w:rFonts w:hint="eastAsia"/>
          <w:b/>
          <w:bCs/>
          <w:sz w:val="24"/>
        </w:rPr>
        <w:t>高效液相色谱仪介绍</w:t>
      </w:r>
    </w:p>
    <w:p>
      <w:pPr>
        <w:ind w:firstLine="241" w:firstLineChars="100"/>
        <w:rPr>
          <w:b/>
          <w:bCs/>
          <w:color w:val="00B050"/>
          <w:sz w:val="24"/>
        </w:rPr>
      </w:pPr>
      <w:r>
        <w:rPr>
          <w:rFonts w:hint="eastAsia"/>
          <w:b/>
          <w:bCs/>
          <w:color w:val="00B050"/>
          <w:sz w:val="24"/>
        </w:rPr>
        <w:t>1、功能特色</w:t>
      </w:r>
    </w:p>
    <w:p>
      <w:pPr>
        <w:ind w:firstLine="480" w:firstLineChars="200"/>
        <w:rPr>
          <w:sz w:val="24"/>
        </w:rPr>
      </w:pPr>
      <w:r>
        <w:rPr>
          <w:sz w:val="24"/>
        </w:rPr>
        <w:t>高效</w:t>
      </w:r>
      <w:r>
        <w:rPr>
          <w:rFonts w:hint="eastAsia"/>
          <w:sz w:val="24"/>
        </w:rPr>
        <w:t>液相色谱仪主要用于有机化学、药物化学、植物化学、生物化学、材料化学、食品化学等领域化合物的分析、分离及定性和定量研究，渗入到基础研究的每一个角落。</w:t>
      </w:r>
    </w:p>
    <w:p>
      <w:pPr>
        <w:ind w:firstLine="480" w:firstLineChars="200"/>
        <w:rPr>
          <w:sz w:val="24"/>
        </w:rPr>
      </w:pPr>
      <w:r>
        <w:rPr>
          <w:sz w:val="24"/>
        </w:rPr>
        <w:t xml:space="preserve">Agilent </w:t>
      </w:r>
      <w:r>
        <w:rPr>
          <w:rFonts w:hint="eastAsia"/>
          <w:sz w:val="24"/>
        </w:rPr>
        <w:t>1200系列在选择溶剂和自动化方面具有较大的灵活性，本仪器为二元系统，可以在使用不同溶剂的方法之间进行快速切换，与自动进样器相结合，适合多方法高通量的工作流程，并具有较好的数据质量(分辨率、灵敏度、精密度)。</w:t>
      </w:r>
    </w:p>
    <w:p>
      <w:pPr>
        <w:ind w:firstLine="241" w:firstLineChars="100"/>
        <w:rPr>
          <w:b/>
          <w:bCs/>
          <w:color w:val="00B050"/>
          <w:sz w:val="24"/>
        </w:rPr>
      </w:pPr>
      <w:r>
        <w:rPr>
          <w:b/>
          <w:bCs/>
          <w:color w:val="00B050"/>
          <w:sz w:val="24"/>
        </w:rPr>
        <w:t>2</w:t>
      </w:r>
      <w:r>
        <w:rPr>
          <w:rFonts w:hint="eastAsia"/>
          <w:b/>
          <w:bCs/>
          <w:color w:val="00B050"/>
          <w:sz w:val="24"/>
        </w:rPr>
        <w:t>、技术参数</w:t>
      </w:r>
    </w:p>
    <w:p>
      <w:pPr>
        <w:ind w:firstLine="480" w:firstLineChars="200"/>
        <w:rPr>
          <w:sz w:val="24"/>
        </w:rPr>
      </w:pPr>
      <w:r>
        <w:rPr>
          <w:rFonts w:hint="eastAsia"/>
          <w:sz w:val="24"/>
        </w:rPr>
        <w:t>二元低压梯度洗脱：流量范围</w:t>
      </w:r>
      <w:r>
        <w:rPr>
          <w:sz w:val="24"/>
        </w:rPr>
        <w:t>0.1-5</w:t>
      </w:r>
      <w:r>
        <w:rPr>
          <w:rFonts w:ascii="Calibri" w:hAnsi="Calibri" w:cs="Calibri"/>
          <w:sz w:val="24"/>
        </w:rPr>
        <w:t> </w:t>
      </w:r>
      <w:r>
        <w:rPr>
          <w:sz w:val="24"/>
        </w:rPr>
        <w:t>ml/min</w:t>
      </w:r>
      <w:r>
        <w:rPr>
          <w:rFonts w:hint="eastAsia"/>
          <w:sz w:val="24"/>
        </w:rPr>
        <w:t>，最高压力为</w:t>
      </w:r>
      <w:r>
        <w:rPr>
          <w:sz w:val="24"/>
        </w:rPr>
        <w:t>400bar</w:t>
      </w:r>
      <w:r>
        <w:rPr>
          <w:rFonts w:hint="eastAsia"/>
          <w:sz w:val="24"/>
        </w:rPr>
        <w:t>；自动进样器进样范围：</w:t>
      </w:r>
      <w:r>
        <w:rPr>
          <w:sz w:val="24"/>
        </w:rPr>
        <w:t>0.1-50μL</w:t>
      </w:r>
      <w:r>
        <w:rPr>
          <w:rFonts w:hint="eastAsia"/>
          <w:sz w:val="24"/>
        </w:rPr>
        <w:t>连续可调，样品盘可放样品瓶</w:t>
      </w:r>
      <w:r>
        <w:rPr>
          <w:sz w:val="24"/>
        </w:rPr>
        <w:t>91</w:t>
      </w:r>
      <w:r>
        <w:rPr>
          <w:rFonts w:hint="eastAsia"/>
          <w:sz w:val="24"/>
        </w:rPr>
        <w:t>瓶；检测器：二极管阵列检测器（D</w:t>
      </w:r>
      <w:r>
        <w:rPr>
          <w:sz w:val="24"/>
        </w:rPr>
        <w:t>AD</w:t>
      </w:r>
      <w:r>
        <w:rPr>
          <w:rFonts w:hint="eastAsia"/>
          <w:sz w:val="24"/>
        </w:rPr>
        <w:t>检测器</w:t>
      </w:r>
      <w:r>
        <w:rPr>
          <w:sz w:val="24"/>
        </w:rPr>
        <w:t>）</w:t>
      </w:r>
      <w:r>
        <w:rPr>
          <w:rFonts w:hint="eastAsia"/>
          <w:sz w:val="24"/>
        </w:rPr>
        <w:t>，波长范围为</w:t>
      </w:r>
      <w:r>
        <w:rPr>
          <w:sz w:val="24"/>
        </w:rPr>
        <w:t>190</w:t>
      </w:r>
      <w:r>
        <w:rPr>
          <w:rFonts w:hint="eastAsia"/>
          <w:sz w:val="24"/>
        </w:rPr>
        <w:t>—</w:t>
      </w:r>
      <w:r>
        <w:rPr>
          <w:sz w:val="24"/>
        </w:rPr>
        <w:t>400</w:t>
      </w:r>
      <w:r>
        <w:rPr>
          <w:rFonts w:ascii="Calibri" w:hAnsi="Calibri" w:cs="Calibri"/>
          <w:sz w:val="24"/>
        </w:rPr>
        <w:t> </w:t>
      </w:r>
      <w:r>
        <w:rPr>
          <w:sz w:val="24"/>
        </w:rPr>
        <w:t>nm</w:t>
      </w:r>
      <w:r>
        <w:rPr>
          <w:rFonts w:hint="eastAsia"/>
          <w:sz w:val="24"/>
        </w:rPr>
        <w:t>；软件系统为</w:t>
      </w:r>
      <w:r>
        <w:rPr>
          <w:sz w:val="24"/>
        </w:rPr>
        <w:t>Agilent ChemStation</w:t>
      </w:r>
      <w:r>
        <w:rPr>
          <w:rFonts w:hint="eastAsia"/>
          <w:sz w:val="24"/>
        </w:rPr>
        <w:t>采集与分析软件。</w:t>
      </w:r>
    </w:p>
    <w:p>
      <w:pPr>
        <w:rPr>
          <w:sz w:val="24"/>
        </w:rPr>
      </w:pPr>
    </w:p>
    <w:sectPr>
      <w:pgSz w:w="11906" w:h="16838"/>
      <w:pgMar w:top="1191" w:right="1588" w:bottom="1077" w:left="1588" w:header="709" w:footer="709" w:gutter="0"/>
      <w:cols w:space="708"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40"/>
  <w:drawingGridVerticalSpacing w:val="204"/>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hY2M1Y2Q3ZTE0MGVmMzFjNGVmNjc1YTJkOTQ5NDcifQ=="/>
  </w:docVars>
  <w:rsids>
    <w:rsidRoot w:val="00D31D50"/>
    <w:rsid w:val="00001FAF"/>
    <w:rsid w:val="000120A2"/>
    <w:rsid w:val="0001540D"/>
    <w:rsid w:val="0002678C"/>
    <w:rsid w:val="000269CC"/>
    <w:rsid w:val="00046DC4"/>
    <w:rsid w:val="00050DFF"/>
    <w:rsid w:val="00065A42"/>
    <w:rsid w:val="00067B3F"/>
    <w:rsid w:val="00071CED"/>
    <w:rsid w:val="00077BCE"/>
    <w:rsid w:val="00083BC7"/>
    <w:rsid w:val="00094DCF"/>
    <w:rsid w:val="000A4233"/>
    <w:rsid w:val="000C4FF2"/>
    <w:rsid w:val="000C5842"/>
    <w:rsid w:val="000C607B"/>
    <w:rsid w:val="000C6843"/>
    <w:rsid w:val="000E68B2"/>
    <w:rsid w:val="000F3F5F"/>
    <w:rsid w:val="000F775A"/>
    <w:rsid w:val="001061F5"/>
    <w:rsid w:val="00110D24"/>
    <w:rsid w:val="00117F54"/>
    <w:rsid w:val="00130B6F"/>
    <w:rsid w:val="00142726"/>
    <w:rsid w:val="00161743"/>
    <w:rsid w:val="00186D72"/>
    <w:rsid w:val="001A0907"/>
    <w:rsid w:val="001B338B"/>
    <w:rsid w:val="001B4943"/>
    <w:rsid w:val="001C2C91"/>
    <w:rsid w:val="001D0FA4"/>
    <w:rsid w:val="001D4EE1"/>
    <w:rsid w:val="001E35C0"/>
    <w:rsid w:val="001F60E2"/>
    <w:rsid w:val="001F7C29"/>
    <w:rsid w:val="00200948"/>
    <w:rsid w:val="00216110"/>
    <w:rsid w:val="00247E46"/>
    <w:rsid w:val="00264FF4"/>
    <w:rsid w:val="002A2F27"/>
    <w:rsid w:val="002A7355"/>
    <w:rsid w:val="002B6379"/>
    <w:rsid w:val="002E5239"/>
    <w:rsid w:val="002E53E3"/>
    <w:rsid w:val="002E5FBD"/>
    <w:rsid w:val="002F7282"/>
    <w:rsid w:val="00300EE4"/>
    <w:rsid w:val="00302AA4"/>
    <w:rsid w:val="003164B2"/>
    <w:rsid w:val="00316F8A"/>
    <w:rsid w:val="003203B5"/>
    <w:rsid w:val="00320DFF"/>
    <w:rsid w:val="00323B43"/>
    <w:rsid w:val="003331D6"/>
    <w:rsid w:val="00336233"/>
    <w:rsid w:val="003502EB"/>
    <w:rsid w:val="00352927"/>
    <w:rsid w:val="003666C4"/>
    <w:rsid w:val="00373301"/>
    <w:rsid w:val="0037451F"/>
    <w:rsid w:val="00381FF2"/>
    <w:rsid w:val="003A0CA0"/>
    <w:rsid w:val="003A176B"/>
    <w:rsid w:val="003A3AAE"/>
    <w:rsid w:val="003A539C"/>
    <w:rsid w:val="003A6DBA"/>
    <w:rsid w:val="003B3BE2"/>
    <w:rsid w:val="003B73BF"/>
    <w:rsid w:val="003B7497"/>
    <w:rsid w:val="003C018F"/>
    <w:rsid w:val="003C3966"/>
    <w:rsid w:val="003C7B55"/>
    <w:rsid w:val="003D06A1"/>
    <w:rsid w:val="003D1BDE"/>
    <w:rsid w:val="003D37D8"/>
    <w:rsid w:val="003E3BD8"/>
    <w:rsid w:val="003F4EE2"/>
    <w:rsid w:val="003F74FE"/>
    <w:rsid w:val="00402FB0"/>
    <w:rsid w:val="004170BC"/>
    <w:rsid w:val="004233DA"/>
    <w:rsid w:val="00425313"/>
    <w:rsid w:val="00426133"/>
    <w:rsid w:val="004358AB"/>
    <w:rsid w:val="00437367"/>
    <w:rsid w:val="0044226B"/>
    <w:rsid w:val="00444EFB"/>
    <w:rsid w:val="00457478"/>
    <w:rsid w:val="004872FD"/>
    <w:rsid w:val="00487AA9"/>
    <w:rsid w:val="004950D6"/>
    <w:rsid w:val="004A1CF7"/>
    <w:rsid w:val="004A1E11"/>
    <w:rsid w:val="004A5C2E"/>
    <w:rsid w:val="004B11DC"/>
    <w:rsid w:val="004B2A45"/>
    <w:rsid w:val="004B3838"/>
    <w:rsid w:val="004C1DA1"/>
    <w:rsid w:val="004C3697"/>
    <w:rsid w:val="004D161C"/>
    <w:rsid w:val="004D3730"/>
    <w:rsid w:val="004D44BA"/>
    <w:rsid w:val="004D5802"/>
    <w:rsid w:val="00506A32"/>
    <w:rsid w:val="00513DED"/>
    <w:rsid w:val="0051671A"/>
    <w:rsid w:val="005277C2"/>
    <w:rsid w:val="00531899"/>
    <w:rsid w:val="00534C9C"/>
    <w:rsid w:val="00535D04"/>
    <w:rsid w:val="005410C9"/>
    <w:rsid w:val="00545B90"/>
    <w:rsid w:val="00546767"/>
    <w:rsid w:val="00547027"/>
    <w:rsid w:val="00550A99"/>
    <w:rsid w:val="00591011"/>
    <w:rsid w:val="005B1666"/>
    <w:rsid w:val="005B20D0"/>
    <w:rsid w:val="005C0F98"/>
    <w:rsid w:val="005C27FF"/>
    <w:rsid w:val="005D473D"/>
    <w:rsid w:val="005D62BC"/>
    <w:rsid w:val="005E767D"/>
    <w:rsid w:val="00604A25"/>
    <w:rsid w:val="00630007"/>
    <w:rsid w:val="00630373"/>
    <w:rsid w:val="00637922"/>
    <w:rsid w:val="006402D2"/>
    <w:rsid w:val="00643D28"/>
    <w:rsid w:val="006650EA"/>
    <w:rsid w:val="006660CC"/>
    <w:rsid w:val="0068088C"/>
    <w:rsid w:val="006B05F9"/>
    <w:rsid w:val="006B1026"/>
    <w:rsid w:val="006C63C1"/>
    <w:rsid w:val="006D5F96"/>
    <w:rsid w:val="006E5490"/>
    <w:rsid w:val="006E762E"/>
    <w:rsid w:val="006F03CD"/>
    <w:rsid w:val="006F6ACD"/>
    <w:rsid w:val="007050BA"/>
    <w:rsid w:val="00713A3B"/>
    <w:rsid w:val="00714551"/>
    <w:rsid w:val="0072168D"/>
    <w:rsid w:val="0072245B"/>
    <w:rsid w:val="007330A5"/>
    <w:rsid w:val="007332A8"/>
    <w:rsid w:val="007545AF"/>
    <w:rsid w:val="00762C1B"/>
    <w:rsid w:val="00777F7E"/>
    <w:rsid w:val="00781479"/>
    <w:rsid w:val="00795E88"/>
    <w:rsid w:val="00797F63"/>
    <w:rsid w:val="007A5BE8"/>
    <w:rsid w:val="007C56F2"/>
    <w:rsid w:val="007D24D0"/>
    <w:rsid w:val="007F3EFD"/>
    <w:rsid w:val="008030E8"/>
    <w:rsid w:val="00806287"/>
    <w:rsid w:val="0082514A"/>
    <w:rsid w:val="00825CDF"/>
    <w:rsid w:val="0082786A"/>
    <w:rsid w:val="008421E9"/>
    <w:rsid w:val="00875CAC"/>
    <w:rsid w:val="00891878"/>
    <w:rsid w:val="008932C4"/>
    <w:rsid w:val="00896BD1"/>
    <w:rsid w:val="008A2A0C"/>
    <w:rsid w:val="008A4449"/>
    <w:rsid w:val="008A6E8A"/>
    <w:rsid w:val="008A73CE"/>
    <w:rsid w:val="008B7726"/>
    <w:rsid w:val="008C3690"/>
    <w:rsid w:val="008D385B"/>
    <w:rsid w:val="008E16BD"/>
    <w:rsid w:val="008E3ED7"/>
    <w:rsid w:val="009046CC"/>
    <w:rsid w:val="009101A0"/>
    <w:rsid w:val="00947D89"/>
    <w:rsid w:val="00952A1B"/>
    <w:rsid w:val="009603E4"/>
    <w:rsid w:val="0096491E"/>
    <w:rsid w:val="00967478"/>
    <w:rsid w:val="009759CB"/>
    <w:rsid w:val="009825D4"/>
    <w:rsid w:val="00997366"/>
    <w:rsid w:val="009A727C"/>
    <w:rsid w:val="009B5881"/>
    <w:rsid w:val="009C696E"/>
    <w:rsid w:val="009C7F79"/>
    <w:rsid w:val="009D3CCC"/>
    <w:rsid w:val="009D40A7"/>
    <w:rsid w:val="009D6162"/>
    <w:rsid w:val="009F1AE4"/>
    <w:rsid w:val="00A00FCD"/>
    <w:rsid w:val="00A02F5A"/>
    <w:rsid w:val="00A0308C"/>
    <w:rsid w:val="00A20190"/>
    <w:rsid w:val="00A20BC0"/>
    <w:rsid w:val="00A3257B"/>
    <w:rsid w:val="00A620C4"/>
    <w:rsid w:val="00A62712"/>
    <w:rsid w:val="00A76A9B"/>
    <w:rsid w:val="00A910C0"/>
    <w:rsid w:val="00AA1E3F"/>
    <w:rsid w:val="00AA26C2"/>
    <w:rsid w:val="00AB3012"/>
    <w:rsid w:val="00AB7990"/>
    <w:rsid w:val="00AC1982"/>
    <w:rsid w:val="00AC3EEE"/>
    <w:rsid w:val="00AC6CC3"/>
    <w:rsid w:val="00AC7923"/>
    <w:rsid w:val="00AD0A3A"/>
    <w:rsid w:val="00AE73C7"/>
    <w:rsid w:val="00AE7CE6"/>
    <w:rsid w:val="00AF1E0A"/>
    <w:rsid w:val="00AF2849"/>
    <w:rsid w:val="00AF7B3A"/>
    <w:rsid w:val="00B030FE"/>
    <w:rsid w:val="00B163C6"/>
    <w:rsid w:val="00B30667"/>
    <w:rsid w:val="00B37101"/>
    <w:rsid w:val="00B54BE0"/>
    <w:rsid w:val="00B56B5A"/>
    <w:rsid w:val="00B75CE7"/>
    <w:rsid w:val="00B76A13"/>
    <w:rsid w:val="00B77263"/>
    <w:rsid w:val="00B81068"/>
    <w:rsid w:val="00B847FC"/>
    <w:rsid w:val="00B96C46"/>
    <w:rsid w:val="00BA3ACF"/>
    <w:rsid w:val="00BA61AA"/>
    <w:rsid w:val="00BC07A0"/>
    <w:rsid w:val="00BC5256"/>
    <w:rsid w:val="00BE64BF"/>
    <w:rsid w:val="00BE7A57"/>
    <w:rsid w:val="00BF053C"/>
    <w:rsid w:val="00C01EBE"/>
    <w:rsid w:val="00C12056"/>
    <w:rsid w:val="00C239BE"/>
    <w:rsid w:val="00C70A83"/>
    <w:rsid w:val="00C71485"/>
    <w:rsid w:val="00C729B0"/>
    <w:rsid w:val="00C94262"/>
    <w:rsid w:val="00CA6226"/>
    <w:rsid w:val="00CB7C8C"/>
    <w:rsid w:val="00CD097C"/>
    <w:rsid w:val="00CE7BDE"/>
    <w:rsid w:val="00CF57E6"/>
    <w:rsid w:val="00D12B06"/>
    <w:rsid w:val="00D13E30"/>
    <w:rsid w:val="00D202DE"/>
    <w:rsid w:val="00D26AF7"/>
    <w:rsid w:val="00D31D50"/>
    <w:rsid w:val="00D34773"/>
    <w:rsid w:val="00D45D4B"/>
    <w:rsid w:val="00D5564F"/>
    <w:rsid w:val="00D66FC4"/>
    <w:rsid w:val="00D67510"/>
    <w:rsid w:val="00D956FA"/>
    <w:rsid w:val="00DA460E"/>
    <w:rsid w:val="00DB2222"/>
    <w:rsid w:val="00DB703B"/>
    <w:rsid w:val="00DC48A4"/>
    <w:rsid w:val="00DC50F9"/>
    <w:rsid w:val="00DC5DBF"/>
    <w:rsid w:val="00DD4372"/>
    <w:rsid w:val="00DE50A2"/>
    <w:rsid w:val="00DE6D52"/>
    <w:rsid w:val="00DF51AC"/>
    <w:rsid w:val="00DF626D"/>
    <w:rsid w:val="00DF7F50"/>
    <w:rsid w:val="00E0701E"/>
    <w:rsid w:val="00E076AD"/>
    <w:rsid w:val="00E24530"/>
    <w:rsid w:val="00E24F3F"/>
    <w:rsid w:val="00E27FA5"/>
    <w:rsid w:val="00E46B13"/>
    <w:rsid w:val="00E53C2C"/>
    <w:rsid w:val="00E55BBF"/>
    <w:rsid w:val="00E56D4E"/>
    <w:rsid w:val="00E63D45"/>
    <w:rsid w:val="00E66F2B"/>
    <w:rsid w:val="00E71F8B"/>
    <w:rsid w:val="00E8745D"/>
    <w:rsid w:val="00E94969"/>
    <w:rsid w:val="00E95BC6"/>
    <w:rsid w:val="00EA171D"/>
    <w:rsid w:val="00EB1544"/>
    <w:rsid w:val="00EC670D"/>
    <w:rsid w:val="00ED1573"/>
    <w:rsid w:val="00EE1874"/>
    <w:rsid w:val="00EE4623"/>
    <w:rsid w:val="00EF25ED"/>
    <w:rsid w:val="00EF6DD4"/>
    <w:rsid w:val="00F077C5"/>
    <w:rsid w:val="00F152EA"/>
    <w:rsid w:val="00F42954"/>
    <w:rsid w:val="00F43054"/>
    <w:rsid w:val="00F436A4"/>
    <w:rsid w:val="00F441E4"/>
    <w:rsid w:val="00F534DB"/>
    <w:rsid w:val="00F601ED"/>
    <w:rsid w:val="00F61027"/>
    <w:rsid w:val="00F7031B"/>
    <w:rsid w:val="00F72CE9"/>
    <w:rsid w:val="00F85358"/>
    <w:rsid w:val="00F8663A"/>
    <w:rsid w:val="00F8737A"/>
    <w:rsid w:val="00F93854"/>
    <w:rsid w:val="00FA4275"/>
    <w:rsid w:val="00FB58F3"/>
    <w:rsid w:val="00FC0978"/>
    <w:rsid w:val="03C64123"/>
    <w:rsid w:val="07EC3AE9"/>
    <w:rsid w:val="09BC009F"/>
    <w:rsid w:val="16FB3479"/>
    <w:rsid w:val="1C0E3BF7"/>
    <w:rsid w:val="202412C2"/>
    <w:rsid w:val="23E100A1"/>
    <w:rsid w:val="24C57337"/>
    <w:rsid w:val="2F176A8E"/>
    <w:rsid w:val="32F86FD5"/>
    <w:rsid w:val="3342395A"/>
    <w:rsid w:val="3475246E"/>
    <w:rsid w:val="3C0371B5"/>
    <w:rsid w:val="3EA60413"/>
    <w:rsid w:val="4D063335"/>
    <w:rsid w:val="4E555F70"/>
    <w:rsid w:val="4ED36140"/>
    <w:rsid w:val="4F0C26CC"/>
    <w:rsid w:val="52F40862"/>
    <w:rsid w:val="5F893581"/>
    <w:rsid w:val="618976D1"/>
    <w:rsid w:val="623643D3"/>
    <w:rsid w:val="643A5383"/>
    <w:rsid w:val="647F2AAC"/>
    <w:rsid w:val="650D0C60"/>
    <w:rsid w:val="6560334C"/>
    <w:rsid w:val="6BAF5D71"/>
    <w:rsid w:val="6D075C8B"/>
    <w:rsid w:val="6D262F2A"/>
    <w:rsid w:val="6F16116B"/>
    <w:rsid w:val="735131E2"/>
    <w:rsid w:val="741C73F7"/>
    <w:rsid w:val="744B0933"/>
    <w:rsid w:val="79F75232"/>
    <w:rsid w:val="7CC05103"/>
    <w:rsid w:val="7DC61B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pPr>
    <w:rPr>
      <w:rFonts w:ascii="仿宋" w:hAnsi="仿宋" w:eastAsia="仿宋" w:cstheme="minorBidi"/>
      <w:sz w:val="28"/>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6"/>
    <w:semiHidden/>
    <w:unhideWhenUsed/>
    <w:qFormat/>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uiPriority w:val="99"/>
    <w:pPr>
      <w:adjustRightInd/>
      <w:snapToGrid/>
      <w:spacing w:before="100" w:beforeAutospacing="1" w:after="100" w:afterAutospacing="1" w:line="240" w:lineRule="auto"/>
    </w:pPr>
    <w:rPr>
      <w:rFonts w:ascii="宋体" w:hAnsi="宋体" w:eastAsia="宋体" w:cs="宋体"/>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字符"/>
    <w:basedOn w:val="9"/>
    <w:link w:val="5"/>
    <w:qFormat/>
    <w:uiPriority w:val="99"/>
    <w:rPr>
      <w:rFonts w:ascii="Tahoma" w:hAnsi="Tahoma"/>
      <w:sz w:val="18"/>
      <w:szCs w:val="18"/>
    </w:rPr>
  </w:style>
  <w:style w:type="character" w:customStyle="1" w:styleId="13">
    <w:name w:val="页脚 字符"/>
    <w:basedOn w:val="9"/>
    <w:link w:val="4"/>
    <w:qFormat/>
    <w:uiPriority w:val="99"/>
    <w:rPr>
      <w:rFonts w:ascii="Tahoma" w:hAnsi="Tahoma"/>
      <w:sz w:val="18"/>
      <w:szCs w:val="18"/>
    </w:rPr>
  </w:style>
  <w:style w:type="character" w:customStyle="1" w:styleId="14">
    <w:name w:val="日期 字符"/>
    <w:basedOn w:val="9"/>
    <w:link w:val="2"/>
    <w:semiHidden/>
    <w:qFormat/>
    <w:uiPriority w:val="99"/>
    <w:rPr>
      <w:rFonts w:ascii="Times New Roman" w:hAnsi="Times New Roman" w:eastAsia="仿宋"/>
      <w:sz w:val="30"/>
      <w:szCs w:val="22"/>
    </w:rPr>
  </w:style>
  <w:style w:type="table" w:customStyle="1" w:styleId="15">
    <w:name w:val="网格型2"/>
    <w:basedOn w:val="7"/>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批注框文本 字符"/>
    <w:basedOn w:val="9"/>
    <w:link w:val="3"/>
    <w:semiHidden/>
    <w:qFormat/>
    <w:uiPriority w:val="99"/>
    <w:rPr>
      <w:rFonts w:ascii="仿宋" w:hAnsi="仿宋"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926F7F-D946-4EA2-8501-18CC7CA1044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1735</Words>
  <Characters>2111</Characters>
  <Lines>16</Lines>
  <Paragraphs>4</Paragraphs>
  <TotalTime>5</TotalTime>
  <ScaleCrop>false</ScaleCrop>
  <LinksUpToDate>false</LinksUpToDate>
  <CharactersWithSpaces>2154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2022-09-13T04:47:00Z</dcterms:created>
  <dc:creator>Administrator</dc:creator>
  <cp:lastModifiedBy>Olivia</cp:lastModifiedBy>
  <cp:lastPrinted>2021-09-02T07:54:00Z</cp:lastPrinted>
  <dcterms:modified xsi:type="dcterms:W3CDTF">2022-09-13T05:54:25Z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C96043DD89144586A74AB20081C7CC63</vt:lpwstr>
  </property>
</Properties>
</file>