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6326" w14:textId="50F0AE91" w:rsidR="00D15AC9" w:rsidRPr="00AB7877" w:rsidRDefault="00D15AC9" w:rsidP="00092772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000000" w:themeColor="text1"/>
          <w:spacing w:val="9"/>
          <w:kern w:val="36"/>
          <w:sz w:val="33"/>
          <w:szCs w:val="33"/>
        </w:rPr>
      </w:pPr>
      <w:r w:rsidRPr="00AB7877">
        <w:rPr>
          <w:rFonts w:ascii="Microsoft YaHei UI" w:eastAsia="Microsoft YaHei UI" w:hAnsi="Microsoft YaHei UI" w:cs="宋体" w:hint="eastAsia"/>
          <w:b/>
          <w:bCs/>
          <w:color w:val="000000" w:themeColor="text1"/>
          <w:spacing w:val="9"/>
          <w:kern w:val="36"/>
          <w:sz w:val="33"/>
          <w:szCs w:val="33"/>
        </w:rPr>
        <w:t>【设备应用培训】超高效液相色谱仪培训通知</w:t>
      </w:r>
    </w:p>
    <w:p w14:paraId="5DC9059C" w14:textId="77777777" w:rsidR="00B14C2E" w:rsidRPr="00092772" w:rsidRDefault="00B14C2E" w:rsidP="00D15AC9">
      <w:pPr>
        <w:widowControl/>
        <w:shd w:val="clear" w:color="auto" w:fill="FFFFFF"/>
        <w:jc w:val="left"/>
        <w:rPr>
          <w:rFonts w:ascii="仿宋" w:eastAsia="仿宋" w:hAnsi="仿宋" w:cs="宋体"/>
          <w:b/>
          <w:bCs/>
          <w:color w:val="000000" w:themeColor="text1"/>
          <w:spacing w:val="15"/>
          <w:kern w:val="0"/>
          <w:sz w:val="36"/>
          <w:szCs w:val="36"/>
        </w:rPr>
      </w:pPr>
    </w:p>
    <w:p w14:paraId="7B12D558" w14:textId="6604B60D" w:rsidR="00D15AC9" w:rsidRPr="00092772" w:rsidRDefault="00D15AC9" w:rsidP="00092772">
      <w:pPr>
        <w:widowControl/>
        <w:shd w:val="clear" w:color="auto" w:fill="FFFFFF"/>
        <w:spacing w:line="300" w:lineRule="auto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32"/>
          <w:szCs w:val="32"/>
        </w:rPr>
      </w:pPr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各相关单位:</w:t>
      </w:r>
    </w:p>
    <w:p w14:paraId="1C8F8350" w14:textId="665BACE5" w:rsidR="00D15AC9" w:rsidRPr="00092772" w:rsidRDefault="00D15AC9" w:rsidP="00092772">
      <w:pPr>
        <w:widowControl/>
        <w:shd w:val="clear" w:color="auto" w:fill="FFFFFF"/>
        <w:spacing w:line="300" w:lineRule="auto"/>
        <w:ind w:firstLine="540"/>
        <w:rPr>
          <w:rFonts w:ascii="微软雅黑" w:eastAsia="微软雅黑" w:hAnsi="微软雅黑" w:cs="宋体"/>
          <w:color w:val="000000" w:themeColor="text1"/>
          <w:spacing w:val="15"/>
          <w:kern w:val="0"/>
          <w:sz w:val="32"/>
          <w:szCs w:val="32"/>
        </w:rPr>
      </w:pPr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为进一步落实《暨南大学贵重仪器设备开放共享管理办法（暨通〔2018〕10号）》文件精神，推进我校仪器设备全面开放共享，提高仪器设备使用效率，满足相关学科师生的科研要求，</w:t>
      </w:r>
      <w:proofErr w:type="gramStart"/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现举办</w:t>
      </w:r>
      <w:r w:rsidRPr="00092772">
        <w:rPr>
          <w:rFonts w:ascii="仿宋" w:eastAsia="仿宋" w:hAnsi="仿宋" w:cs="宋体" w:hint="eastAsia"/>
          <w:b/>
          <w:bCs/>
          <w:color w:val="000000" w:themeColor="text1"/>
          <w:spacing w:val="15"/>
          <w:kern w:val="0"/>
          <w:sz w:val="24"/>
          <w:szCs w:val="24"/>
          <w:u w:val="single"/>
        </w:rPr>
        <w:t>超</w:t>
      </w:r>
      <w:proofErr w:type="gramEnd"/>
      <w:r w:rsidRPr="00092772">
        <w:rPr>
          <w:rFonts w:ascii="仿宋" w:eastAsia="仿宋" w:hAnsi="仿宋" w:cs="宋体" w:hint="eastAsia"/>
          <w:b/>
          <w:bCs/>
          <w:color w:val="000000" w:themeColor="text1"/>
          <w:spacing w:val="15"/>
          <w:kern w:val="0"/>
          <w:sz w:val="24"/>
          <w:szCs w:val="24"/>
          <w:u w:val="single"/>
        </w:rPr>
        <w:t>高效液相色谱仪</w:t>
      </w:r>
      <w:r w:rsidR="00B14C2E" w:rsidRPr="00092772">
        <w:rPr>
          <w:rFonts w:ascii="仿宋" w:eastAsia="仿宋" w:hAnsi="仿宋" w:cs="宋体" w:hint="eastAsia"/>
          <w:b/>
          <w:bCs/>
          <w:color w:val="000000" w:themeColor="text1"/>
          <w:spacing w:val="15"/>
          <w:kern w:val="0"/>
          <w:sz w:val="24"/>
          <w:szCs w:val="24"/>
          <w:u w:val="single"/>
        </w:rPr>
        <w:t>（</w:t>
      </w:r>
      <w:r w:rsidR="00B14C2E" w:rsidRPr="00092772">
        <w:rPr>
          <w:rFonts w:ascii="仿宋" w:eastAsia="仿宋" w:hAnsi="仿宋" w:cs="宋体" w:hint="eastAsia"/>
          <w:b/>
          <w:bCs/>
          <w:color w:val="000000" w:themeColor="text1"/>
          <w:spacing w:val="15"/>
          <w:kern w:val="0"/>
          <w:sz w:val="24"/>
          <w:szCs w:val="24"/>
          <w:u w:val="single"/>
        </w:rPr>
        <w:t>Agilent 1290</w:t>
      </w:r>
      <w:r w:rsidR="00B14C2E" w:rsidRPr="00092772">
        <w:rPr>
          <w:rFonts w:ascii="仿宋" w:eastAsia="仿宋" w:hAnsi="仿宋" w:cs="宋体" w:hint="eastAsia"/>
          <w:b/>
          <w:bCs/>
          <w:color w:val="000000" w:themeColor="text1"/>
          <w:spacing w:val="15"/>
          <w:kern w:val="0"/>
          <w:sz w:val="24"/>
          <w:szCs w:val="24"/>
          <w:u w:val="single"/>
        </w:rPr>
        <w:t>）</w:t>
      </w:r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应用培训，由实验室与设备管理处主办，药学院公共科研平台承办。具体安排如下:</w:t>
      </w:r>
    </w:p>
    <w:p w14:paraId="48AD4EBB" w14:textId="77777777" w:rsidR="00D15AC9" w:rsidRPr="00092772" w:rsidRDefault="00D15AC9" w:rsidP="00092772">
      <w:pPr>
        <w:widowControl/>
        <w:shd w:val="clear" w:color="auto" w:fill="FFFFFF"/>
        <w:spacing w:line="300" w:lineRule="auto"/>
        <w:ind w:firstLine="540"/>
        <w:rPr>
          <w:rFonts w:ascii="微软雅黑" w:eastAsia="微软雅黑" w:hAnsi="微软雅黑" w:cs="宋体"/>
          <w:color w:val="000000" w:themeColor="text1"/>
          <w:spacing w:val="15"/>
          <w:kern w:val="0"/>
          <w:sz w:val="32"/>
          <w:szCs w:val="32"/>
        </w:rPr>
      </w:pPr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一、培训安排</w:t>
      </w:r>
      <w:r w:rsidRPr="00092772">
        <w:rPr>
          <w:rFonts w:ascii="宋体" w:eastAsia="宋体" w:hAnsi="宋体" w:cs="宋体" w:hint="eastAsia"/>
          <w:b/>
          <w:bCs/>
          <w:color w:val="000000" w:themeColor="text1"/>
          <w:spacing w:val="15"/>
          <w:kern w:val="0"/>
          <w:sz w:val="24"/>
          <w:szCs w:val="24"/>
        </w:rPr>
        <w:t> </w:t>
      </w:r>
    </w:p>
    <w:tbl>
      <w:tblPr>
        <w:tblW w:w="9746" w:type="dxa"/>
        <w:tblInd w:w="-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257"/>
        <w:gridCol w:w="1985"/>
        <w:gridCol w:w="2268"/>
        <w:gridCol w:w="2620"/>
      </w:tblGrid>
      <w:tr w:rsidR="00AB7877" w:rsidRPr="00092772" w14:paraId="5959338C" w14:textId="77777777" w:rsidTr="00092772">
        <w:trPr>
          <w:trHeight w:val="367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23E64" w14:textId="77777777" w:rsidR="00D15AC9" w:rsidRPr="00092772" w:rsidRDefault="00D15AC9" w:rsidP="00092772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092772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  <w:t>序号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104FBB" w14:textId="77777777" w:rsidR="00D15AC9" w:rsidRPr="00092772" w:rsidRDefault="00D15AC9" w:rsidP="00092772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092772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  <w:t>仪器名称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F84C3" w14:textId="77777777" w:rsidR="00D15AC9" w:rsidRPr="00092772" w:rsidRDefault="00D15AC9" w:rsidP="00092772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092772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  <w:t>培训地点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4FFC9" w14:textId="77777777" w:rsidR="00D15AC9" w:rsidRPr="00092772" w:rsidRDefault="00D15AC9" w:rsidP="00092772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092772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  <w:t>培训时间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759EC8" w14:textId="77777777" w:rsidR="00D15AC9" w:rsidRPr="00092772" w:rsidRDefault="00D15AC9" w:rsidP="00092772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092772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  <w:t>联系老师</w:t>
            </w:r>
          </w:p>
        </w:tc>
      </w:tr>
      <w:tr w:rsidR="00AB7877" w:rsidRPr="00092772" w14:paraId="2ECC1253" w14:textId="77777777" w:rsidTr="00092772">
        <w:trPr>
          <w:trHeight w:val="731"/>
        </w:trPr>
        <w:tc>
          <w:tcPr>
            <w:tcW w:w="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9BEDD" w14:textId="207C5A78" w:rsidR="00D15AC9" w:rsidRPr="00092772" w:rsidRDefault="00B14C2E" w:rsidP="00092772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092772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  <w:t>1</w:t>
            </w:r>
          </w:p>
        </w:tc>
        <w:tc>
          <w:tcPr>
            <w:tcW w:w="2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C0BFD" w14:textId="77777777" w:rsidR="00D15AC9" w:rsidRPr="00092772" w:rsidRDefault="00D15AC9" w:rsidP="00092772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000000" w:themeColor="text1"/>
                <w:spacing w:val="15"/>
                <w:kern w:val="0"/>
                <w:sz w:val="32"/>
                <w:szCs w:val="32"/>
              </w:rPr>
            </w:pPr>
            <w:r w:rsidRPr="00092772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  <w:t>超高效液相色谱仪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4AB60" w14:textId="77777777" w:rsidR="00D15AC9" w:rsidRPr="00092772" w:rsidRDefault="00D15AC9" w:rsidP="00092772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</w:pPr>
            <w:r w:rsidRPr="00092772">
              <w:rPr>
                <w:rFonts w:ascii="Times New Roman" w:eastAsia="仿宋" w:hAnsi="Times New Roman" w:cs="Times New Roman" w:hint="eastAsia"/>
                <w:color w:val="000000" w:themeColor="text1"/>
                <w:spacing w:val="15"/>
                <w:kern w:val="0"/>
                <w:szCs w:val="21"/>
              </w:rPr>
              <w:t>药学院番禺校区</w:t>
            </w:r>
            <w:r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F2-104</w:t>
            </w:r>
            <w:r w:rsidRPr="00092772">
              <w:rPr>
                <w:rFonts w:ascii="Times New Roman" w:eastAsia="仿宋" w:hAnsi="Times New Roman" w:cs="Times New Roman" w:hint="eastAsia"/>
                <w:color w:val="000000" w:themeColor="text1"/>
                <w:spacing w:val="15"/>
                <w:kern w:val="0"/>
                <w:szCs w:val="21"/>
              </w:rPr>
              <w:t>室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F39C5" w14:textId="413ED3B9" w:rsidR="00D15AC9" w:rsidRPr="00092772" w:rsidRDefault="00B14C2E" w:rsidP="00092772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</w:pPr>
            <w:r w:rsidRPr="00092772">
              <w:rPr>
                <w:rFonts w:ascii="Times New Roman" w:eastAsia="仿宋" w:hAnsi="Times New Roman" w:cs="Times New Roman" w:hint="eastAsia"/>
                <w:color w:val="000000" w:themeColor="text1"/>
                <w:spacing w:val="15"/>
                <w:kern w:val="0"/>
                <w:szCs w:val="21"/>
              </w:rPr>
              <w:t>9</w:t>
            </w:r>
            <w:r w:rsidR="00D15AC9" w:rsidRPr="00092772">
              <w:rPr>
                <w:rFonts w:ascii="Times New Roman" w:eastAsia="仿宋" w:hAnsi="Times New Roman" w:cs="Times New Roman" w:hint="eastAsia"/>
                <w:color w:val="000000" w:themeColor="text1"/>
                <w:spacing w:val="15"/>
                <w:kern w:val="0"/>
                <w:szCs w:val="21"/>
              </w:rPr>
              <w:t>月</w:t>
            </w:r>
            <w:r w:rsidR="002551D0"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2</w:t>
            </w:r>
            <w:r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8</w:t>
            </w:r>
            <w:r w:rsidR="00D15AC9" w:rsidRPr="00092772">
              <w:rPr>
                <w:rFonts w:ascii="Times New Roman" w:eastAsia="仿宋" w:hAnsi="Times New Roman" w:cs="Times New Roman" w:hint="eastAsia"/>
                <w:color w:val="000000" w:themeColor="text1"/>
                <w:spacing w:val="15"/>
                <w:kern w:val="0"/>
                <w:szCs w:val="21"/>
              </w:rPr>
              <w:t>日（周</w:t>
            </w:r>
            <w:r w:rsidRPr="00092772">
              <w:rPr>
                <w:rFonts w:ascii="Times New Roman" w:eastAsia="仿宋" w:hAnsi="Times New Roman" w:cs="Times New Roman" w:hint="eastAsia"/>
                <w:color w:val="000000" w:themeColor="text1"/>
                <w:spacing w:val="15"/>
                <w:kern w:val="0"/>
                <w:szCs w:val="21"/>
              </w:rPr>
              <w:t>三</w:t>
            </w:r>
            <w:r w:rsidR="00D15AC9" w:rsidRPr="00092772">
              <w:rPr>
                <w:rFonts w:ascii="Times New Roman" w:eastAsia="仿宋" w:hAnsi="Times New Roman" w:cs="Times New Roman" w:hint="eastAsia"/>
                <w:color w:val="000000" w:themeColor="text1"/>
                <w:spacing w:val="15"/>
                <w:kern w:val="0"/>
                <w:szCs w:val="21"/>
              </w:rPr>
              <w:t>）</w:t>
            </w:r>
          </w:p>
          <w:p w14:paraId="3F0827BD" w14:textId="3F515622" w:rsidR="00D15AC9" w:rsidRPr="00092772" w:rsidRDefault="00B14C2E" w:rsidP="00092772">
            <w:pPr>
              <w:widowControl/>
              <w:spacing w:line="30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</w:pPr>
            <w:r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9</w:t>
            </w:r>
            <w:r w:rsidR="00D15AC9" w:rsidRPr="00092772">
              <w:rPr>
                <w:rFonts w:ascii="Times New Roman" w:eastAsia="仿宋" w:hAnsi="Times New Roman" w:cs="Times New Roman" w:hint="eastAsia"/>
                <w:color w:val="000000" w:themeColor="text1"/>
                <w:spacing w:val="15"/>
                <w:kern w:val="0"/>
                <w:szCs w:val="21"/>
              </w:rPr>
              <w:t>:</w:t>
            </w:r>
            <w:r w:rsidR="00D15AC9"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 </w:t>
            </w:r>
            <w:r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3</w:t>
            </w:r>
            <w:r w:rsidR="00D15AC9"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0-1</w:t>
            </w:r>
            <w:r w:rsidR="002551D0"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1</w:t>
            </w:r>
            <w:r w:rsidR="00D15AC9"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 xml:space="preserve">: </w:t>
            </w:r>
            <w:r w:rsidR="00972AA5"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3</w:t>
            </w:r>
            <w:r w:rsidR="00D15AC9" w:rsidRPr="00092772">
              <w:rPr>
                <w:rFonts w:ascii="Times New Roman" w:eastAsia="仿宋" w:hAnsi="Times New Roman" w:cs="Times New Roman"/>
                <w:color w:val="000000" w:themeColor="text1"/>
                <w:spacing w:val="15"/>
                <w:kern w:val="0"/>
                <w:szCs w:val="21"/>
              </w:rPr>
              <w:t>0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9D7802" w14:textId="013CDAFF" w:rsidR="00D15AC9" w:rsidRPr="00092772" w:rsidRDefault="002551D0" w:rsidP="0009277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color w:val="000000" w:themeColor="text1"/>
                <w:spacing w:val="15"/>
                <w:kern w:val="0"/>
                <w:szCs w:val="21"/>
              </w:rPr>
            </w:pPr>
            <w:r w:rsidRPr="00092772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  <w:t>宋老师</w:t>
            </w:r>
            <w:r w:rsidRPr="00092772">
              <w:rPr>
                <w:rFonts w:ascii="仿宋" w:eastAsia="仿宋" w:hAnsi="仿宋" w:cs="宋体"/>
                <w:color w:val="000000" w:themeColor="text1"/>
                <w:spacing w:val="15"/>
                <w:kern w:val="0"/>
                <w:szCs w:val="21"/>
              </w:rPr>
              <w:t>13726838797</w:t>
            </w:r>
          </w:p>
          <w:p w14:paraId="36E94A17" w14:textId="3E6A1EF2" w:rsidR="00B14C2E" w:rsidRPr="00092772" w:rsidRDefault="00B14C2E" w:rsidP="00092772">
            <w:pPr>
              <w:spacing w:line="300" w:lineRule="auto"/>
              <w:jc w:val="center"/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</w:pPr>
            <w:r w:rsidRPr="00092772">
              <w:rPr>
                <w:rFonts w:ascii="仿宋" w:eastAsia="仿宋" w:hAnsi="仿宋" w:cs="宋体" w:hint="eastAsia"/>
                <w:color w:val="000000" w:themeColor="text1"/>
                <w:spacing w:val="15"/>
                <w:kern w:val="0"/>
                <w:szCs w:val="21"/>
              </w:rPr>
              <w:t>曾老师19860019180</w:t>
            </w:r>
          </w:p>
        </w:tc>
      </w:tr>
    </w:tbl>
    <w:p w14:paraId="65E7B5F1" w14:textId="77777777" w:rsidR="00D15AC9" w:rsidRPr="00092772" w:rsidRDefault="00D15AC9" w:rsidP="00092772">
      <w:pPr>
        <w:widowControl/>
        <w:spacing w:line="300" w:lineRule="auto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092772">
        <w:rPr>
          <w:rFonts w:ascii="Calibri" w:eastAsia="黑体" w:hAnsi="Calibri" w:cs="Calibri"/>
          <w:color w:val="000000" w:themeColor="text1"/>
          <w:spacing w:val="15"/>
          <w:kern w:val="0"/>
          <w:sz w:val="24"/>
          <w:szCs w:val="24"/>
          <w:shd w:val="clear" w:color="auto" w:fill="FFFFFF"/>
        </w:rPr>
        <w:t> </w:t>
      </w:r>
    </w:p>
    <w:p w14:paraId="053BDCCF" w14:textId="77777777" w:rsidR="00D15AC9" w:rsidRPr="00092772" w:rsidRDefault="00D15AC9" w:rsidP="00092772">
      <w:pPr>
        <w:widowControl/>
        <w:shd w:val="clear" w:color="auto" w:fill="FFFFFF"/>
        <w:spacing w:line="300" w:lineRule="auto"/>
        <w:ind w:firstLine="540"/>
        <w:rPr>
          <w:rFonts w:ascii="微软雅黑" w:eastAsia="微软雅黑" w:hAnsi="微软雅黑" w:cs="宋体"/>
          <w:color w:val="000000" w:themeColor="text1"/>
          <w:spacing w:val="15"/>
          <w:kern w:val="0"/>
          <w:sz w:val="32"/>
          <w:szCs w:val="32"/>
        </w:rPr>
      </w:pPr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二、培训要求</w:t>
      </w:r>
    </w:p>
    <w:p w14:paraId="6492A725" w14:textId="77777777" w:rsidR="00D15AC9" w:rsidRPr="00092772" w:rsidRDefault="00D15AC9" w:rsidP="00092772">
      <w:pPr>
        <w:widowControl/>
        <w:shd w:val="clear" w:color="auto" w:fill="FFFFFF"/>
        <w:spacing w:line="300" w:lineRule="auto"/>
        <w:ind w:firstLine="540"/>
        <w:rPr>
          <w:rFonts w:ascii="微软雅黑" w:eastAsia="微软雅黑" w:hAnsi="微软雅黑" w:cs="宋体"/>
          <w:color w:val="000000" w:themeColor="text1"/>
          <w:spacing w:val="15"/>
          <w:kern w:val="0"/>
          <w:sz w:val="32"/>
          <w:szCs w:val="32"/>
        </w:rPr>
      </w:pPr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请在读硕士、博士研究生以课题组为单位报名（在校本科生暂不接受常规报名），参加培训并考核合格者，经申请同意可开通相应仪器的预约使用权限。</w:t>
      </w:r>
    </w:p>
    <w:p w14:paraId="69232E40" w14:textId="77777777" w:rsidR="00D15AC9" w:rsidRPr="00092772" w:rsidRDefault="00D15AC9" w:rsidP="00092772">
      <w:pPr>
        <w:widowControl/>
        <w:shd w:val="clear" w:color="auto" w:fill="FFFFFF"/>
        <w:spacing w:line="300" w:lineRule="auto"/>
        <w:ind w:firstLine="540"/>
        <w:rPr>
          <w:rFonts w:ascii="微软雅黑" w:eastAsia="微软雅黑" w:hAnsi="微软雅黑" w:cs="宋体"/>
          <w:color w:val="000000" w:themeColor="text1"/>
          <w:spacing w:val="15"/>
          <w:kern w:val="0"/>
          <w:sz w:val="32"/>
          <w:szCs w:val="32"/>
        </w:rPr>
      </w:pPr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参与培训人员需遵照我校疫情防控相关要求参加培训，并</w:t>
      </w:r>
      <w:proofErr w:type="gramStart"/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统一扫码报名</w:t>
      </w:r>
      <w:proofErr w:type="gramEnd"/>
      <w:r w:rsidRPr="00092772">
        <w:rPr>
          <w:rFonts w:ascii="仿宋" w:eastAsia="仿宋" w:hAnsi="仿宋" w:cs="宋体" w:hint="eastAsia"/>
          <w:color w:val="000000" w:themeColor="text1"/>
          <w:spacing w:val="15"/>
          <w:kern w:val="0"/>
          <w:sz w:val="24"/>
          <w:szCs w:val="24"/>
        </w:rPr>
        <w:t>。</w:t>
      </w:r>
    </w:p>
    <w:p w14:paraId="05B2381A" w14:textId="77777777" w:rsidR="00D15AC9" w:rsidRPr="00D15AC9" w:rsidRDefault="00D15AC9" w:rsidP="00092772">
      <w:pPr>
        <w:widowControl/>
        <w:shd w:val="clear" w:color="auto" w:fill="FFFFFF"/>
        <w:ind w:firstLine="540"/>
        <w:jc w:val="center"/>
        <w:rPr>
          <w:rFonts w:ascii="微软雅黑" w:eastAsia="微软雅黑" w:hAnsi="微软雅黑" w:cs="宋体"/>
          <w:color w:val="666666"/>
          <w:spacing w:val="15"/>
          <w:kern w:val="0"/>
          <w:sz w:val="24"/>
          <w:szCs w:val="24"/>
        </w:rPr>
      </w:pPr>
      <w:r w:rsidRPr="00D15AC9">
        <w:rPr>
          <w:rFonts w:ascii="Calibri" w:eastAsia="仿宋" w:hAnsi="Calibri" w:cs="Calibri"/>
          <w:color w:val="666666"/>
          <w:spacing w:val="15"/>
          <w:kern w:val="0"/>
          <w:szCs w:val="21"/>
        </w:rPr>
        <w:t> </w:t>
      </w:r>
    </w:p>
    <w:p w14:paraId="211EF1AC" w14:textId="57764014" w:rsidR="00D15AC9" w:rsidRPr="00D15AC9" w:rsidRDefault="00092772" w:rsidP="00D96F1F">
      <w:pPr>
        <w:widowControl/>
        <w:shd w:val="clear" w:color="auto" w:fill="FFFFFF"/>
        <w:spacing w:line="200" w:lineRule="atLeast"/>
        <w:jc w:val="center"/>
        <w:rPr>
          <w:rFonts w:ascii="微软雅黑" w:eastAsia="微软雅黑" w:hAnsi="微软雅黑" w:cs="宋体"/>
          <w:color w:val="666666"/>
          <w:spacing w:val="15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266ABEA" wp14:editId="40BA5214">
            <wp:extent cx="1895475" cy="1895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E05E" w14:textId="57BC4A56" w:rsidR="00AB7877" w:rsidRPr="00D96F1F" w:rsidRDefault="00D96F1F" w:rsidP="00D96F1F">
      <w:pPr>
        <w:widowControl/>
        <w:jc w:val="center"/>
        <w:rPr>
          <w:rFonts w:ascii="宋体" w:eastAsia="宋体" w:hAnsi="宋体" w:cs="宋体"/>
          <w:b/>
          <w:bCs/>
          <w:noProof/>
          <w:color w:val="000000" w:themeColor="text1"/>
          <w:kern w:val="0"/>
          <w:sz w:val="32"/>
          <w:szCs w:val="32"/>
        </w:rPr>
      </w:pPr>
      <w:r w:rsidRPr="00D96F1F">
        <w:rPr>
          <w:rFonts w:ascii="宋体" w:eastAsia="宋体" w:hAnsi="宋体" w:cs="宋体" w:hint="eastAsia"/>
          <w:b/>
          <w:bCs/>
          <w:noProof/>
          <w:color w:val="000000" w:themeColor="text1"/>
          <w:kern w:val="0"/>
          <w:sz w:val="32"/>
          <w:szCs w:val="32"/>
        </w:rPr>
        <w:t>培训报名</w:t>
      </w:r>
    </w:p>
    <w:p w14:paraId="4D73E1B5" w14:textId="77777777" w:rsidR="00AB7877" w:rsidRDefault="00AB7877" w:rsidP="00D15AC9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14:paraId="04059D81" w14:textId="6B9A4F92" w:rsidR="00AB7877" w:rsidRDefault="00AB7877" w:rsidP="00D15A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9EB7CA4" w14:textId="7A1968EE" w:rsidR="00092772" w:rsidRDefault="00092772" w:rsidP="00D15A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BDB6BFF" w14:textId="77777777" w:rsidR="00092772" w:rsidRPr="00D15AC9" w:rsidRDefault="00092772" w:rsidP="00D15AC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67761EE" w14:textId="77777777" w:rsidR="00AB7877" w:rsidRPr="00AB7877" w:rsidRDefault="00AB7877" w:rsidP="00B328C6">
      <w:pPr>
        <w:rPr>
          <w:rFonts w:ascii="宋体" w:eastAsia="宋体" w:hAnsi="宋体"/>
          <w:b/>
          <w:bCs/>
          <w:sz w:val="24"/>
          <w:szCs w:val="24"/>
        </w:rPr>
      </w:pPr>
      <w:r w:rsidRPr="00AB7877">
        <w:rPr>
          <w:rFonts w:ascii="宋体" w:eastAsia="宋体" w:hAnsi="宋体" w:hint="eastAsia"/>
          <w:b/>
          <w:bCs/>
          <w:sz w:val="24"/>
          <w:szCs w:val="24"/>
        </w:rPr>
        <w:lastRenderedPageBreak/>
        <w:t>三、仪器介绍</w:t>
      </w:r>
    </w:p>
    <w:p w14:paraId="5881189E" w14:textId="77777777" w:rsidR="00092772" w:rsidRDefault="00092772" w:rsidP="00B328C6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37218B36" w14:textId="46EBA0B5" w:rsidR="00B328C6" w:rsidRPr="00AB7877" w:rsidRDefault="00B328C6" w:rsidP="00B328C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B7877">
        <w:rPr>
          <w:rFonts w:ascii="宋体" w:eastAsia="宋体" w:hAnsi="宋体"/>
          <w:sz w:val="24"/>
          <w:szCs w:val="24"/>
        </w:rPr>
        <w:t>高效</w:t>
      </w:r>
      <w:r w:rsidRPr="00AB7877">
        <w:rPr>
          <w:rFonts w:ascii="宋体" w:eastAsia="宋体" w:hAnsi="宋体" w:hint="eastAsia"/>
          <w:sz w:val="24"/>
          <w:szCs w:val="24"/>
        </w:rPr>
        <w:t>液相色谱仪主要用于有机化学、药物化学、植物化学、生物化学、材料化学、食品化学等领域化合物的分析、分离及定性和定量研究，渗入到基础研究的每一个角落。</w:t>
      </w:r>
    </w:p>
    <w:p w14:paraId="78E34FF0" w14:textId="77777777" w:rsidR="00972AA5" w:rsidRPr="00B328C6" w:rsidRDefault="00972AA5" w:rsidP="00AB7877">
      <w:pPr>
        <w:ind w:firstLineChars="100" w:firstLine="241"/>
        <w:rPr>
          <w:rFonts w:ascii="宋体" w:eastAsia="宋体" w:hAnsi="宋体"/>
          <w:b/>
          <w:bCs/>
          <w:sz w:val="24"/>
          <w:szCs w:val="24"/>
        </w:rPr>
      </w:pPr>
    </w:p>
    <w:p w14:paraId="59D21513" w14:textId="7D82A2FB" w:rsidR="00D15AC9" w:rsidRPr="00972AA5" w:rsidRDefault="00972AA5" w:rsidP="00AB7877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72AA5">
        <w:rPr>
          <w:rFonts w:ascii="宋体" w:eastAsia="宋体" w:hAnsi="宋体" w:hint="eastAsia"/>
          <w:b/>
          <w:bCs/>
          <w:kern w:val="0"/>
          <w:sz w:val="24"/>
          <w:szCs w:val="24"/>
        </w:rPr>
        <w:t>Agilent 1290 Infinity II</w:t>
      </w:r>
      <w:r w:rsidR="00D15AC9" w:rsidRPr="00972AA5">
        <w:rPr>
          <w:rFonts w:ascii="宋体" w:eastAsia="宋体" w:hAnsi="宋体" w:cs="宋体" w:hint="eastAsia"/>
          <w:b/>
          <w:bCs/>
          <w:color w:val="000000" w:themeColor="text1"/>
          <w:spacing w:val="15"/>
          <w:kern w:val="0"/>
          <w:sz w:val="24"/>
          <w:szCs w:val="24"/>
        </w:rPr>
        <w:t>超高效液相色谱仪介绍</w:t>
      </w:r>
    </w:p>
    <w:p w14:paraId="3CB5EFE3" w14:textId="17586022" w:rsidR="00D15AC9" w:rsidRPr="00AB7877" w:rsidRDefault="00AB7877" w:rsidP="00972AA5">
      <w:pPr>
        <w:widowControl/>
        <w:spacing w:line="144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B7877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1</w:t>
      </w:r>
      <w:r w:rsidR="00D15AC9" w:rsidRPr="00AB7877">
        <w:rPr>
          <w:rFonts w:ascii="宋体" w:eastAsia="宋体" w:hAnsi="宋体" w:cs="宋体" w:hint="eastAsia"/>
          <w:color w:val="000000" w:themeColor="text1"/>
          <w:spacing w:val="15"/>
          <w:kern w:val="0"/>
          <w:sz w:val="24"/>
          <w:szCs w:val="24"/>
        </w:rPr>
        <w:t>功能特色</w:t>
      </w:r>
    </w:p>
    <w:p w14:paraId="2AC0B307" w14:textId="085F6F49" w:rsidR="00D15AC9" w:rsidRPr="00AB7877" w:rsidRDefault="00D15AC9" w:rsidP="00AB7877">
      <w:pPr>
        <w:widowControl/>
        <w:shd w:val="clear" w:color="auto" w:fill="FFFFFF"/>
        <w:spacing w:line="144" w:lineRule="auto"/>
        <w:rPr>
          <w:rFonts w:ascii="宋体" w:eastAsia="宋体" w:hAnsi="宋体" w:cs="宋体"/>
          <w:color w:val="000000" w:themeColor="text1"/>
          <w:spacing w:val="15"/>
          <w:kern w:val="0"/>
          <w:sz w:val="24"/>
          <w:szCs w:val="24"/>
        </w:rPr>
      </w:pPr>
      <w:r w:rsidRPr="00AB7877">
        <w:rPr>
          <w:rFonts w:ascii="宋体" w:eastAsia="宋体" w:hAnsi="宋体" w:hint="eastAsia"/>
          <w:kern w:val="0"/>
          <w:sz w:val="24"/>
          <w:szCs w:val="24"/>
        </w:rPr>
        <w:t>① Agilent 1290 Infinity II为高压二元泵系统，具有卓越的分离能力，在</w:t>
      </w:r>
      <w:r w:rsidRPr="00AB7877">
        <w:rPr>
          <w:rFonts w:ascii="宋体" w:eastAsia="宋体" w:hAnsi="宋体"/>
          <w:kern w:val="0"/>
          <w:sz w:val="24"/>
          <w:szCs w:val="24"/>
        </w:rPr>
        <w:t>1200</w:t>
      </w:r>
      <w:r w:rsidRPr="00AB7877">
        <w:rPr>
          <w:rFonts w:ascii="宋体" w:eastAsia="宋体" w:hAnsi="宋体" w:hint="eastAsia"/>
          <w:kern w:val="0"/>
          <w:sz w:val="24"/>
          <w:szCs w:val="24"/>
        </w:rPr>
        <w:t>bar下流速可达</w:t>
      </w:r>
      <w:r w:rsidRPr="00AB7877">
        <w:rPr>
          <w:rFonts w:ascii="宋体" w:eastAsia="宋体" w:hAnsi="宋体"/>
          <w:kern w:val="0"/>
          <w:sz w:val="24"/>
          <w:szCs w:val="24"/>
        </w:rPr>
        <w:t>2</w:t>
      </w:r>
      <w:r w:rsidRPr="00AB7877">
        <w:rPr>
          <w:rFonts w:ascii="宋体" w:eastAsia="宋体" w:hAnsi="宋体" w:hint="eastAsia"/>
          <w:kern w:val="0"/>
          <w:sz w:val="24"/>
          <w:szCs w:val="24"/>
        </w:rPr>
        <w:t>mL/min，</w:t>
      </w:r>
      <w:r w:rsidRPr="00AB7877">
        <w:rPr>
          <w:rFonts w:ascii="宋体" w:eastAsia="宋体" w:hAnsi="宋体"/>
          <w:kern w:val="0"/>
          <w:sz w:val="24"/>
          <w:szCs w:val="24"/>
        </w:rPr>
        <w:t>800</w:t>
      </w:r>
      <w:r w:rsidRPr="00AB7877">
        <w:rPr>
          <w:rFonts w:ascii="宋体" w:eastAsia="宋体" w:hAnsi="宋体" w:hint="eastAsia"/>
          <w:kern w:val="0"/>
          <w:sz w:val="24"/>
          <w:szCs w:val="24"/>
        </w:rPr>
        <w:t>bar下流速可达</w:t>
      </w:r>
      <w:r w:rsidRPr="00AB7877">
        <w:rPr>
          <w:rFonts w:ascii="宋体" w:eastAsia="宋体" w:hAnsi="宋体"/>
          <w:kern w:val="0"/>
          <w:sz w:val="24"/>
          <w:szCs w:val="24"/>
        </w:rPr>
        <w:t>5</w:t>
      </w:r>
      <w:r w:rsidRPr="00AB7877">
        <w:rPr>
          <w:rFonts w:ascii="宋体" w:eastAsia="宋体" w:hAnsi="宋体" w:hint="eastAsia"/>
          <w:kern w:val="0"/>
          <w:sz w:val="24"/>
          <w:szCs w:val="24"/>
        </w:rPr>
        <w:t>mL/min，</w:t>
      </w:r>
      <w:r w:rsidRPr="00AB7877">
        <w:rPr>
          <w:rFonts w:ascii="宋体" w:eastAsia="宋体" w:hAnsi="宋体" w:cs="宋体" w:hint="eastAsia"/>
          <w:color w:val="000000" w:themeColor="text1"/>
          <w:spacing w:val="15"/>
          <w:kern w:val="0"/>
          <w:sz w:val="24"/>
          <w:szCs w:val="24"/>
        </w:rPr>
        <w:t>同时能实现超快速梯度分离。</w:t>
      </w:r>
    </w:p>
    <w:p w14:paraId="3DA0EC09" w14:textId="77777777" w:rsidR="00D15AC9" w:rsidRPr="00AB7877" w:rsidRDefault="00D15AC9" w:rsidP="00AB7877">
      <w:pPr>
        <w:widowControl/>
        <w:shd w:val="clear" w:color="auto" w:fill="FFFFFF"/>
        <w:spacing w:line="144" w:lineRule="auto"/>
        <w:rPr>
          <w:rFonts w:ascii="宋体" w:eastAsia="宋体" w:hAnsi="宋体"/>
          <w:kern w:val="0"/>
          <w:sz w:val="24"/>
          <w:szCs w:val="24"/>
        </w:rPr>
      </w:pPr>
      <w:r w:rsidRPr="00AB7877">
        <w:rPr>
          <w:rFonts w:ascii="宋体" w:eastAsia="宋体" w:hAnsi="宋体" w:hint="eastAsia"/>
          <w:kern w:val="0"/>
          <w:sz w:val="24"/>
          <w:szCs w:val="24"/>
        </w:rPr>
        <w:t>②采用固定定量管进样模式，实现超快速循环周期，</w:t>
      </w:r>
      <w:proofErr w:type="gramStart"/>
      <w:r w:rsidRPr="00AB7877">
        <w:rPr>
          <w:rFonts w:ascii="宋体" w:eastAsia="宋体" w:hAnsi="宋体" w:hint="eastAsia"/>
          <w:kern w:val="0"/>
          <w:sz w:val="24"/>
          <w:szCs w:val="24"/>
        </w:rPr>
        <w:t>具有针座自动</w:t>
      </w:r>
      <w:proofErr w:type="gramEnd"/>
      <w:r w:rsidRPr="00AB7877">
        <w:rPr>
          <w:rFonts w:ascii="宋体" w:eastAsia="宋体" w:hAnsi="宋体" w:hint="eastAsia"/>
          <w:kern w:val="0"/>
          <w:sz w:val="24"/>
          <w:szCs w:val="24"/>
        </w:rPr>
        <w:t>反冲功能，将交叉污染降到最低，确保获得更高质量的数据。</w:t>
      </w:r>
    </w:p>
    <w:p w14:paraId="618BDC99" w14:textId="77777777" w:rsidR="00D15AC9" w:rsidRPr="00AB7877" w:rsidRDefault="00D15AC9" w:rsidP="00AB7877">
      <w:pPr>
        <w:widowControl/>
        <w:shd w:val="clear" w:color="auto" w:fill="FFFFFF"/>
        <w:spacing w:line="144" w:lineRule="auto"/>
        <w:rPr>
          <w:rFonts w:ascii="宋体" w:eastAsia="宋体" w:hAnsi="宋体"/>
          <w:kern w:val="0"/>
          <w:sz w:val="24"/>
          <w:szCs w:val="24"/>
        </w:rPr>
      </w:pPr>
      <w:r w:rsidRPr="00AB7877">
        <w:rPr>
          <w:rFonts w:ascii="宋体" w:eastAsia="宋体" w:hAnsi="宋体" w:hint="eastAsia"/>
          <w:kern w:val="0"/>
          <w:sz w:val="24"/>
          <w:szCs w:val="24"/>
        </w:rPr>
        <w:t>③独有的二极管阵列检测器及带</w:t>
      </w:r>
      <w:proofErr w:type="gramStart"/>
      <w:r w:rsidRPr="00AB7877">
        <w:rPr>
          <w:rFonts w:ascii="宋体" w:eastAsia="宋体" w:hAnsi="宋体" w:hint="eastAsia"/>
          <w:kern w:val="0"/>
          <w:sz w:val="24"/>
          <w:szCs w:val="24"/>
        </w:rPr>
        <w:t>微流控</w:t>
      </w:r>
      <w:proofErr w:type="gramEnd"/>
      <w:r w:rsidRPr="00AB7877">
        <w:rPr>
          <w:rFonts w:ascii="宋体" w:eastAsia="宋体" w:hAnsi="宋体" w:hint="eastAsia"/>
          <w:kern w:val="0"/>
          <w:sz w:val="24"/>
          <w:szCs w:val="24"/>
        </w:rPr>
        <w:t>光学波导技术的最大光强卡套</w:t>
      </w:r>
      <w:proofErr w:type="gramStart"/>
      <w:r w:rsidRPr="00AB7877">
        <w:rPr>
          <w:rFonts w:ascii="宋体" w:eastAsia="宋体" w:hAnsi="宋体" w:hint="eastAsia"/>
          <w:kern w:val="0"/>
          <w:sz w:val="24"/>
          <w:szCs w:val="24"/>
        </w:rPr>
        <w:t>式流通池</w:t>
      </w:r>
      <w:proofErr w:type="gramEnd"/>
      <w:r w:rsidRPr="00AB7877">
        <w:rPr>
          <w:rFonts w:ascii="宋体" w:eastAsia="宋体" w:hAnsi="宋体" w:hint="eastAsia"/>
          <w:kern w:val="0"/>
          <w:sz w:val="24"/>
          <w:szCs w:val="24"/>
        </w:rPr>
        <w:t>，几乎完全消除了示差折光效应，降低了基线漂移和噪音的影响，极大的提高了检测灵敏度。</w:t>
      </w:r>
    </w:p>
    <w:p w14:paraId="5B8A0CFA" w14:textId="77777777" w:rsidR="00AB7877" w:rsidRPr="00AB7877" w:rsidRDefault="00D15AC9" w:rsidP="00AB7877">
      <w:pPr>
        <w:widowControl/>
        <w:shd w:val="clear" w:color="auto" w:fill="FFFFFF"/>
        <w:spacing w:line="144" w:lineRule="auto"/>
        <w:rPr>
          <w:rFonts w:ascii="宋体" w:eastAsia="宋体" w:hAnsi="宋体"/>
          <w:kern w:val="0"/>
          <w:sz w:val="24"/>
          <w:szCs w:val="24"/>
        </w:rPr>
      </w:pPr>
      <w:r w:rsidRPr="00AB7877">
        <w:rPr>
          <w:rFonts w:ascii="宋体" w:eastAsia="宋体" w:hAnsi="宋体" w:cs="Calibri"/>
          <w:kern w:val="0"/>
          <w:sz w:val="24"/>
          <w:szCs w:val="24"/>
        </w:rPr>
        <w:t> </w:t>
      </w:r>
    </w:p>
    <w:p w14:paraId="46296510" w14:textId="3B3FBD92" w:rsidR="00D15AC9" w:rsidRPr="00972AA5" w:rsidRDefault="00AB7877" w:rsidP="00972AA5">
      <w:pPr>
        <w:widowControl/>
        <w:spacing w:line="12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7877">
        <w:rPr>
          <w:rFonts w:ascii="宋体" w:eastAsia="宋体" w:hAnsi="宋体" w:cs="Times New Roman"/>
          <w:kern w:val="0"/>
          <w:sz w:val="24"/>
          <w:szCs w:val="24"/>
        </w:rPr>
        <w:t>2</w:t>
      </w:r>
      <w:r w:rsidR="00D15AC9" w:rsidRPr="00972AA5">
        <w:rPr>
          <w:rFonts w:ascii="宋体" w:eastAsia="宋体" w:hAnsi="宋体" w:hint="eastAsia"/>
          <w:kern w:val="0"/>
          <w:sz w:val="24"/>
          <w:szCs w:val="24"/>
        </w:rPr>
        <w:t>技术参数</w:t>
      </w:r>
    </w:p>
    <w:p w14:paraId="3D16FC6A" w14:textId="0B8BBFF9" w:rsidR="00D15AC9" w:rsidRPr="00773747" w:rsidRDefault="00D15AC9" w:rsidP="00972AA5">
      <w:pPr>
        <w:widowControl/>
        <w:shd w:val="clear" w:color="auto" w:fill="FFFFFF"/>
        <w:rPr>
          <w:rFonts w:ascii="宋体" w:eastAsia="宋体" w:hAnsi="宋体"/>
          <w:kern w:val="0"/>
          <w:sz w:val="24"/>
          <w:szCs w:val="24"/>
        </w:rPr>
      </w:pPr>
      <w:r w:rsidRPr="00773747">
        <w:rPr>
          <w:rFonts w:ascii="宋体" w:eastAsia="宋体" w:hAnsi="宋体" w:hint="eastAsia"/>
          <w:kern w:val="0"/>
          <w:sz w:val="24"/>
          <w:szCs w:val="24"/>
        </w:rPr>
        <w:t>二元泵系统：</w:t>
      </w:r>
      <w:r w:rsidRPr="00773747">
        <w:rPr>
          <w:rFonts w:ascii="宋体" w:eastAsia="宋体" w:hAnsi="宋体"/>
          <w:kern w:val="0"/>
          <w:sz w:val="24"/>
          <w:szCs w:val="24"/>
        </w:rPr>
        <w:t>0.1-2 ml/min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为</w:t>
      </w:r>
      <w:r w:rsidRPr="00773747">
        <w:rPr>
          <w:rFonts w:ascii="宋体" w:eastAsia="宋体" w:hAnsi="宋体"/>
          <w:kern w:val="0"/>
          <w:sz w:val="24"/>
          <w:szCs w:val="24"/>
        </w:rPr>
        <w:t>1300bar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，</w:t>
      </w:r>
      <w:r w:rsidRPr="00773747">
        <w:rPr>
          <w:rFonts w:ascii="宋体" w:eastAsia="宋体" w:hAnsi="宋体"/>
          <w:kern w:val="0"/>
          <w:sz w:val="24"/>
          <w:szCs w:val="24"/>
        </w:rPr>
        <w:t>2-5 ml/min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为</w:t>
      </w:r>
      <w:r w:rsidRPr="00773747">
        <w:rPr>
          <w:rFonts w:ascii="宋体" w:eastAsia="宋体" w:hAnsi="宋体"/>
          <w:kern w:val="0"/>
          <w:sz w:val="24"/>
          <w:szCs w:val="24"/>
        </w:rPr>
        <w:t>800bar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；流量范围：</w:t>
      </w:r>
      <w:r w:rsidRPr="00773747">
        <w:rPr>
          <w:rFonts w:ascii="宋体" w:eastAsia="宋体" w:hAnsi="宋体"/>
          <w:kern w:val="0"/>
          <w:sz w:val="24"/>
          <w:szCs w:val="24"/>
        </w:rPr>
        <w:t>0.001 ml/min~5.0 ml/min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；检测器：二极管阵列检测器，波长范围为</w:t>
      </w:r>
      <w:r w:rsidRPr="00773747">
        <w:rPr>
          <w:rFonts w:ascii="宋体" w:eastAsia="宋体" w:hAnsi="宋体"/>
          <w:kern w:val="0"/>
          <w:sz w:val="24"/>
          <w:szCs w:val="24"/>
        </w:rPr>
        <w:t>190~640 nm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；</w:t>
      </w:r>
      <w:r w:rsidRPr="00773747">
        <w:rPr>
          <w:rFonts w:ascii="宋体" w:eastAsia="宋体" w:hAnsi="宋体"/>
          <w:kern w:val="0"/>
          <w:sz w:val="24"/>
          <w:szCs w:val="24"/>
        </w:rPr>
        <w:t>pH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范围：</w:t>
      </w:r>
      <w:r w:rsidRPr="00773747">
        <w:rPr>
          <w:rFonts w:ascii="宋体" w:eastAsia="宋体" w:hAnsi="宋体"/>
          <w:kern w:val="0"/>
          <w:sz w:val="24"/>
          <w:szCs w:val="24"/>
        </w:rPr>
        <w:t>1~14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；</w:t>
      </w:r>
      <w:proofErr w:type="gramStart"/>
      <w:r w:rsidRPr="00773747">
        <w:rPr>
          <w:rFonts w:ascii="宋体" w:eastAsia="宋体" w:hAnsi="宋体" w:hint="eastAsia"/>
          <w:kern w:val="0"/>
          <w:sz w:val="24"/>
          <w:szCs w:val="24"/>
        </w:rPr>
        <w:t>柱温箱</w:t>
      </w:r>
      <w:proofErr w:type="gramEnd"/>
      <w:r w:rsidRPr="00773747">
        <w:rPr>
          <w:rFonts w:ascii="宋体" w:eastAsia="宋体" w:hAnsi="宋体" w:hint="eastAsia"/>
          <w:kern w:val="0"/>
          <w:sz w:val="24"/>
          <w:szCs w:val="24"/>
        </w:rPr>
        <w:t>范围：</w:t>
      </w:r>
      <w:r w:rsidRPr="00773747">
        <w:rPr>
          <w:rFonts w:ascii="宋体" w:eastAsia="宋体" w:hAnsi="宋体"/>
          <w:kern w:val="0"/>
          <w:sz w:val="24"/>
          <w:szCs w:val="24"/>
        </w:rPr>
        <w:t>4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～</w:t>
      </w:r>
      <w:r w:rsidRPr="00773747">
        <w:rPr>
          <w:rFonts w:ascii="宋体" w:eastAsia="宋体" w:hAnsi="宋体"/>
          <w:kern w:val="0"/>
          <w:sz w:val="24"/>
          <w:szCs w:val="24"/>
        </w:rPr>
        <w:t>110</w:t>
      </w:r>
      <w:r w:rsidRPr="00773747">
        <w:rPr>
          <w:rFonts w:ascii="微软雅黑" w:eastAsia="微软雅黑" w:hAnsi="微软雅黑" w:cs="微软雅黑" w:hint="eastAsia"/>
          <w:kern w:val="0"/>
          <w:sz w:val="24"/>
          <w:szCs w:val="24"/>
        </w:rPr>
        <w:t>˚</w:t>
      </w:r>
      <w:r w:rsidRPr="00773747">
        <w:rPr>
          <w:rFonts w:ascii="宋体" w:eastAsia="宋体" w:hAnsi="宋体"/>
          <w:kern w:val="0"/>
          <w:sz w:val="24"/>
          <w:szCs w:val="24"/>
        </w:rPr>
        <w:t>C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；进样范围：</w:t>
      </w:r>
      <w:r w:rsidRPr="00773747">
        <w:rPr>
          <w:rFonts w:ascii="宋体" w:eastAsia="宋体" w:hAnsi="宋体"/>
          <w:kern w:val="0"/>
          <w:sz w:val="24"/>
          <w:szCs w:val="24"/>
        </w:rPr>
        <w:t>0.1~40 mL</w:t>
      </w:r>
      <w:r w:rsidRPr="00773747">
        <w:rPr>
          <w:rFonts w:ascii="宋体" w:eastAsia="宋体" w:hAnsi="宋体" w:hint="eastAsia"/>
          <w:kern w:val="0"/>
          <w:sz w:val="24"/>
          <w:szCs w:val="24"/>
        </w:rPr>
        <w:t>连续可调，软件系统为</w:t>
      </w:r>
      <w:r w:rsidRPr="00773747">
        <w:rPr>
          <w:rFonts w:ascii="宋体" w:eastAsia="宋体" w:hAnsi="宋体"/>
          <w:kern w:val="0"/>
          <w:sz w:val="24"/>
          <w:szCs w:val="24"/>
        </w:rPr>
        <w:t xml:space="preserve">Agilent </w:t>
      </w:r>
      <w:proofErr w:type="spellStart"/>
      <w:r w:rsidRPr="00773747">
        <w:rPr>
          <w:rFonts w:ascii="宋体" w:eastAsia="宋体" w:hAnsi="宋体"/>
          <w:kern w:val="0"/>
          <w:sz w:val="24"/>
          <w:szCs w:val="24"/>
        </w:rPr>
        <w:t>ChemStation</w:t>
      </w:r>
      <w:proofErr w:type="spellEnd"/>
      <w:r w:rsidRPr="00773747">
        <w:rPr>
          <w:rFonts w:ascii="宋体" w:eastAsia="宋体" w:hAnsi="宋体" w:hint="eastAsia"/>
          <w:kern w:val="0"/>
          <w:sz w:val="24"/>
          <w:szCs w:val="24"/>
        </w:rPr>
        <w:t>采集与分析软件。</w:t>
      </w:r>
    </w:p>
    <w:p w14:paraId="271496B3" w14:textId="2251E80B" w:rsidR="00D15AC9" w:rsidRPr="00972AA5" w:rsidRDefault="00972AA5" w:rsidP="00972AA5">
      <w:pPr>
        <w:widowControl/>
        <w:shd w:val="clear" w:color="auto" w:fill="FFFFFF"/>
        <w:spacing w:line="144" w:lineRule="auto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3</w:t>
      </w:r>
      <w:r w:rsidR="00D15AC9" w:rsidRPr="00972AA5">
        <w:rPr>
          <w:rFonts w:ascii="宋体" w:eastAsia="宋体" w:hAnsi="宋体" w:cs="宋体" w:hint="eastAsia"/>
          <w:color w:val="000000" w:themeColor="text1"/>
          <w:spacing w:val="15"/>
          <w:kern w:val="0"/>
          <w:sz w:val="24"/>
          <w:szCs w:val="24"/>
        </w:rPr>
        <w:t>应用举例</w:t>
      </w:r>
    </w:p>
    <w:p w14:paraId="5BE60CF8" w14:textId="0B506F54" w:rsidR="00D15AC9" w:rsidRPr="00AB7877" w:rsidRDefault="00D15AC9" w:rsidP="00D15A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7877">
        <w:rPr>
          <w:rFonts w:ascii="宋体" w:eastAsia="宋体" w:hAnsi="宋体" w:cs="宋体"/>
          <w:kern w:val="0"/>
          <w:sz w:val="24"/>
          <w:szCs w:val="24"/>
        </w:rPr>
        <w:t>Agilent 1290 Infinity II</w:t>
      </w:r>
      <w:r w:rsidRPr="00AB7877">
        <w:rPr>
          <w:rFonts w:ascii="宋体" w:eastAsia="宋体" w:hAnsi="宋体" w:cs="宋体" w:hint="eastAsia"/>
          <w:kern w:val="0"/>
          <w:sz w:val="24"/>
          <w:szCs w:val="24"/>
        </w:rPr>
        <w:t>应用广泛，主要用于有机化学、药物化学、植物化学、生物化学、材料化学、食品化学等领域化合物的分析、分离及定性和定量研究。</w:t>
      </w:r>
    </w:p>
    <w:p w14:paraId="238C6BEC" w14:textId="77777777" w:rsidR="00D15AC9" w:rsidRPr="00AB7877" w:rsidRDefault="00D15AC9" w:rsidP="00D15AC9">
      <w:pPr>
        <w:widowControl/>
        <w:shd w:val="clear" w:color="auto" w:fill="FFFFFF"/>
        <w:rPr>
          <w:rFonts w:ascii="宋体" w:eastAsia="宋体" w:hAnsi="宋体" w:cs="宋体"/>
          <w:color w:val="666666"/>
          <w:spacing w:val="15"/>
          <w:kern w:val="0"/>
          <w:sz w:val="24"/>
          <w:szCs w:val="24"/>
        </w:rPr>
      </w:pPr>
      <w:r w:rsidRPr="00AB7877">
        <w:rPr>
          <w:rFonts w:ascii="宋体" w:eastAsia="宋体" w:hAnsi="宋体" w:cs="宋体" w:hint="eastAsia"/>
          <w:b/>
          <w:bCs/>
          <w:color w:val="666666"/>
          <w:spacing w:val="15"/>
          <w:kern w:val="0"/>
          <w:sz w:val="24"/>
          <w:szCs w:val="24"/>
        </w:rPr>
        <w:t>中药复杂组分的定性定量分析</w:t>
      </w:r>
    </w:p>
    <w:p w14:paraId="5D1510CD" w14:textId="77777777" w:rsidR="00D15AC9" w:rsidRPr="00AB7877" w:rsidRDefault="00D15AC9" w:rsidP="00D15A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7877">
        <w:rPr>
          <w:rFonts w:ascii="宋体" w:eastAsia="宋体" w:hAnsi="宋体" w:cs="宋体" w:hint="eastAsia"/>
          <w:kern w:val="0"/>
          <w:sz w:val="24"/>
          <w:szCs w:val="24"/>
        </w:rPr>
        <w:t>超细粒径的色谱柱填料结合高压二元泵系统，对中药复杂体系中的组分实现超快速梯度分离，大大提高了检测灵敏度和色谱峰间的分离度，改善色谱峰峰形，缩短分析时间，同时能极大程度减少溶剂用量，高质量的实现对目标化合物的定性和定量分析。</w:t>
      </w:r>
    </w:p>
    <w:p w14:paraId="0C328109" w14:textId="17ABC79D" w:rsidR="00D15AC9" w:rsidRPr="00AB7877" w:rsidRDefault="00D15AC9" w:rsidP="00D15AC9">
      <w:pPr>
        <w:widowControl/>
        <w:shd w:val="clear" w:color="auto" w:fill="FFFFFF"/>
        <w:jc w:val="center"/>
        <w:rPr>
          <w:rFonts w:ascii="宋体" w:eastAsia="宋体" w:hAnsi="宋体" w:cs="宋体"/>
          <w:color w:val="666666"/>
          <w:spacing w:val="15"/>
          <w:kern w:val="0"/>
          <w:sz w:val="24"/>
          <w:szCs w:val="24"/>
        </w:rPr>
      </w:pPr>
      <w:r w:rsidRPr="00AB7877">
        <w:rPr>
          <w:rFonts w:ascii="宋体" w:eastAsia="宋体" w:hAnsi="宋体" w:cs="宋体"/>
          <w:noProof/>
          <w:color w:val="666666"/>
          <w:spacing w:val="15"/>
          <w:kern w:val="0"/>
          <w:sz w:val="24"/>
          <w:szCs w:val="24"/>
        </w:rPr>
        <w:drawing>
          <wp:inline distT="0" distB="0" distL="0" distR="0" wp14:anchorId="015FADAD" wp14:editId="3F6B6FC6">
            <wp:extent cx="5076825" cy="1704975"/>
            <wp:effectExtent l="0" t="0" r="9525" b="952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F3B7" w14:textId="77777777" w:rsidR="00D15AC9" w:rsidRPr="00AB7877" w:rsidRDefault="00D15AC9" w:rsidP="00D15AC9">
      <w:pPr>
        <w:widowControl/>
        <w:shd w:val="clear" w:color="auto" w:fill="FFFFFF"/>
        <w:jc w:val="center"/>
        <w:rPr>
          <w:rFonts w:ascii="宋体" w:eastAsia="宋体" w:hAnsi="宋体" w:cs="宋体"/>
          <w:color w:val="666666"/>
          <w:spacing w:val="15"/>
          <w:kern w:val="0"/>
          <w:sz w:val="24"/>
          <w:szCs w:val="24"/>
        </w:rPr>
      </w:pPr>
      <w:r w:rsidRPr="00AB7877">
        <w:rPr>
          <w:rFonts w:ascii="宋体" w:eastAsia="宋体" w:hAnsi="宋体" w:cs="宋体" w:hint="eastAsia"/>
          <w:color w:val="666666"/>
          <w:spacing w:val="15"/>
          <w:kern w:val="0"/>
          <w:sz w:val="24"/>
          <w:szCs w:val="24"/>
        </w:rPr>
        <w:t>安宫牛黄</w:t>
      </w:r>
      <w:proofErr w:type="gramStart"/>
      <w:r w:rsidRPr="00AB7877">
        <w:rPr>
          <w:rFonts w:ascii="宋体" w:eastAsia="宋体" w:hAnsi="宋体" w:cs="宋体" w:hint="eastAsia"/>
          <w:color w:val="666666"/>
          <w:spacing w:val="15"/>
          <w:kern w:val="0"/>
          <w:sz w:val="24"/>
          <w:szCs w:val="24"/>
        </w:rPr>
        <w:t>丸</w:t>
      </w:r>
      <w:proofErr w:type="gramEnd"/>
      <w:r w:rsidRPr="00AB7877">
        <w:rPr>
          <w:rFonts w:ascii="宋体" w:eastAsia="宋体" w:hAnsi="宋体" w:cs="Times New Roman"/>
          <w:color w:val="666666"/>
          <w:spacing w:val="15"/>
          <w:kern w:val="0"/>
          <w:sz w:val="24"/>
          <w:szCs w:val="24"/>
        </w:rPr>
        <w:t>UPLC</w:t>
      </w:r>
      <w:r w:rsidRPr="00AB7877">
        <w:rPr>
          <w:rFonts w:ascii="宋体" w:eastAsia="宋体" w:hAnsi="宋体" w:cs="宋体" w:hint="eastAsia"/>
          <w:color w:val="666666"/>
          <w:spacing w:val="15"/>
          <w:kern w:val="0"/>
          <w:sz w:val="24"/>
          <w:szCs w:val="24"/>
        </w:rPr>
        <w:t>指纹图谱</w:t>
      </w:r>
    </w:p>
    <w:p w14:paraId="6B5AC308" w14:textId="226E64DC" w:rsidR="008C34D0" w:rsidRPr="00AB7877" w:rsidRDefault="00D15AC9" w:rsidP="00D15AC9">
      <w:pPr>
        <w:rPr>
          <w:rFonts w:ascii="宋体" w:eastAsia="宋体" w:hAnsi="宋体"/>
          <w:sz w:val="24"/>
          <w:szCs w:val="24"/>
        </w:rPr>
      </w:pPr>
      <w:r w:rsidRPr="00AB7877">
        <w:rPr>
          <w:rFonts w:ascii="宋体" w:eastAsia="宋体" w:hAnsi="宋体" w:cs="宋体" w:hint="eastAsia"/>
          <w:kern w:val="0"/>
          <w:sz w:val="24"/>
          <w:szCs w:val="24"/>
        </w:rPr>
        <w:t>注：图谱为本实验中心</w:t>
      </w:r>
      <w:r w:rsidRPr="00AB7877">
        <w:rPr>
          <w:rFonts w:ascii="宋体" w:eastAsia="宋体" w:hAnsi="宋体" w:cs="Times New Roman"/>
          <w:kern w:val="0"/>
          <w:sz w:val="24"/>
          <w:szCs w:val="24"/>
        </w:rPr>
        <w:t>UPLC</w:t>
      </w:r>
      <w:r w:rsidRPr="00AB7877">
        <w:rPr>
          <w:rFonts w:ascii="宋体" w:eastAsia="宋体" w:hAnsi="宋体" w:cs="宋体" w:hint="eastAsia"/>
          <w:kern w:val="0"/>
          <w:sz w:val="24"/>
          <w:szCs w:val="24"/>
        </w:rPr>
        <w:t>采集的数据</w:t>
      </w:r>
    </w:p>
    <w:sectPr w:rsidR="008C34D0" w:rsidRPr="00AB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7D8" w14:textId="77777777" w:rsidR="001F1F07" w:rsidRDefault="001F1F07" w:rsidP="001A68A7">
      <w:r>
        <w:separator/>
      </w:r>
    </w:p>
  </w:endnote>
  <w:endnote w:type="continuationSeparator" w:id="0">
    <w:p w14:paraId="3C583595" w14:textId="77777777" w:rsidR="001F1F07" w:rsidRDefault="001F1F07" w:rsidP="001A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F53C" w14:textId="77777777" w:rsidR="001F1F07" w:rsidRDefault="001F1F07" w:rsidP="001A68A7">
      <w:r>
        <w:separator/>
      </w:r>
    </w:p>
  </w:footnote>
  <w:footnote w:type="continuationSeparator" w:id="0">
    <w:p w14:paraId="5D90BA2D" w14:textId="77777777" w:rsidR="001F1F07" w:rsidRDefault="001F1F07" w:rsidP="001A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44"/>
    <w:rsid w:val="00092772"/>
    <w:rsid w:val="001A68A7"/>
    <w:rsid w:val="001B7CDA"/>
    <w:rsid w:val="001F1F07"/>
    <w:rsid w:val="002551D0"/>
    <w:rsid w:val="00281220"/>
    <w:rsid w:val="006B14AC"/>
    <w:rsid w:val="00773747"/>
    <w:rsid w:val="008C34D0"/>
    <w:rsid w:val="00972AA5"/>
    <w:rsid w:val="00AB7877"/>
    <w:rsid w:val="00B14C2E"/>
    <w:rsid w:val="00B328C6"/>
    <w:rsid w:val="00CB4697"/>
    <w:rsid w:val="00D15AC9"/>
    <w:rsid w:val="00D96F1F"/>
    <w:rsid w:val="00E85C4F"/>
    <w:rsid w:val="00F85244"/>
    <w:rsid w:val="00F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356A3"/>
  <w15:chartTrackingRefBased/>
  <w15:docId w15:val="{063F453F-0658-4D84-A69C-F335BBF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15AC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C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D15AC9"/>
  </w:style>
  <w:style w:type="character" w:styleId="a3">
    <w:name w:val="Hyperlink"/>
    <w:basedOn w:val="a0"/>
    <w:uiPriority w:val="99"/>
    <w:semiHidden/>
    <w:unhideWhenUsed/>
    <w:rsid w:val="00D15AC9"/>
    <w:rPr>
      <w:color w:val="0000FF"/>
      <w:u w:val="single"/>
    </w:rPr>
  </w:style>
  <w:style w:type="character" w:styleId="a4">
    <w:name w:val="Emphasis"/>
    <w:basedOn w:val="a0"/>
    <w:uiPriority w:val="20"/>
    <w:qFormat/>
    <w:rsid w:val="00D15AC9"/>
    <w:rPr>
      <w:i/>
      <w:iCs/>
    </w:rPr>
  </w:style>
  <w:style w:type="paragraph" w:styleId="a5">
    <w:name w:val="Normal (Web)"/>
    <w:basedOn w:val="a"/>
    <w:uiPriority w:val="99"/>
    <w:semiHidden/>
    <w:unhideWhenUsed/>
    <w:rsid w:val="00D15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15AC9"/>
    <w:rPr>
      <w:b/>
      <w:bCs/>
    </w:rPr>
  </w:style>
  <w:style w:type="paragraph" w:styleId="a7">
    <w:name w:val="header"/>
    <w:basedOn w:val="a"/>
    <w:link w:val="a8"/>
    <w:uiPriority w:val="99"/>
    <w:unhideWhenUsed/>
    <w:rsid w:val="001A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A68A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A6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A6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2022-09-23T01:12:00Z</dcterms:created>
  <dcterms:modified xsi:type="dcterms:W3CDTF">2022-09-23T01:19:00Z</dcterms:modified>
</cp:coreProperties>
</file>