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EF" w:rsidRDefault="00815432">
      <w:pPr>
        <w:widowControl/>
        <w:shd w:val="clear" w:color="auto" w:fill="FFFFFF"/>
        <w:spacing w:before="360" w:after="210"/>
        <w:jc w:val="center"/>
        <w:outlineLvl w:val="0"/>
        <w:rPr>
          <w:rFonts w:ascii="微软雅黑" w:eastAsia="微软雅黑" w:hAnsi="微软雅黑" w:cs="宋体"/>
          <w:b/>
          <w:bCs/>
          <w:color w:val="333333"/>
          <w:spacing w:val="8"/>
          <w:kern w:val="36"/>
          <w:sz w:val="33"/>
          <w:szCs w:val="33"/>
        </w:rPr>
      </w:pPr>
      <w:r>
        <w:rPr>
          <w:rFonts w:ascii="微软雅黑" w:eastAsia="微软雅黑" w:hAnsi="微软雅黑" w:cs="宋体" w:hint="eastAsia"/>
          <w:b/>
          <w:bCs/>
          <w:color w:val="333333"/>
          <w:spacing w:val="8"/>
          <w:kern w:val="36"/>
          <w:sz w:val="33"/>
          <w:szCs w:val="33"/>
        </w:rPr>
        <w:t>400M核磁共振波谱仪、三重四</w:t>
      </w:r>
      <w:proofErr w:type="gramStart"/>
      <w:r>
        <w:rPr>
          <w:rFonts w:ascii="微软雅黑" w:eastAsia="微软雅黑" w:hAnsi="微软雅黑" w:cs="宋体" w:hint="eastAsia"/>
          <w:b/>
          <w:bCs/>
          <w:color w:val="333333"/>
          <w:spacing w:val="8"/>
          <w:kern w:val="36"/>
          <w:sz w:val="33"/>
          <w:szCs w:val="33"/>
        </w:rPr>
        <w:t>极</w:t>
      </w:r>
      <w:proofErr w:type="gramEnd"/>
      <w:r>
        <w:rPr>
          <w:rFonts w:ascii="微软雅黑" w:eastAsia="微软雅黑" w:hAnsi="微软雅黑" w:cs="宋体" w:hint="eastAsia"/>
          <w:b/>
          <w:bCs/>
          <w:color w:val="333333"/>
          <w:spacing w:val="8"/>
          <w:kern w:val="36"/>
          <w:sz w:val="33"/>
          <w:szCs w:val="33"/>
        </w:rPr>
        <w:t>杆气质联用仪和单晶衍射</w:t>
      </w:r>
      <w:proofErr w:type="gramStart"/>
      <w:r>
        <w:rPr>
          <w:rFonts w:ascii="微软雅黑" w:eastAsia="微软雅黑" w:hAnsi="微软雅黑" w:cs="宋体" w:hint="eastAsia"/>
          <w:b/>
          <w:bCs/>
          <w:color w:val="333333"/>
          <w:spacing w:val="8"/>
          <w:kern w:val="36"/>
          <w:sz w:val="33"/>
          <w:szCs w:val="33"/>
        </w:rPr>
        <w:t>仪培训</w:t>
      </w:r>
      <w:proofErr w:type="gramEnd"/>
      <w:r>
        <w:rPr>
          <w:rFonts w:ascii="微软雅黑" w:eastAsia="微软雅黑" w:hAnsi="微软雅黑" w:cs="宋体" w:hint="eastAsia"/>
          <w:b/>
          <w:bCs/>
          <w:color w:val="333333"/>
          <w:spacing w:val="8"/>
          <w:kern w:val="36"/>
          <w:sz w:val="33"/>
          <w:szCs w:val="33"/>
        </w:rPr>
        <w:t>通知</w:t>
      </w:r>
    </w:p>
    <w:p w:rsidR="002160EF" w:rsidRDefault="00815432">
      <w:pPr>
        <w:numPr>
          <w:ilvl w:val="0"/>
          <w:numId w:val="1"/>
        </w:numPr>
        <w:rPr>
          <w:rStyle w:val="a8"/>
          <w:rFonts w:ascii="Times New Roman" w:eastAsia="微软雅黑" w:hAnsi="Times New Roman" w:cs="Times New Roman"/>
          <w:color w:val="333333"/>
          <w:spacing w:val="8"/>
          <w:sz w:val="30"/>
          <w:szCs w:val="30"/>
          <w:shd w:val="clear" w:color="auto" w:fill="FFFFFF"/>
        </w:rPr>
      </w:pPr>
      <w:r>
        <w:rPr>
          <w:rStyle w:val="a8"/>
          <w:rFonts w:ascii="Times New Roman" w:eastAsia="微软雅黑" w:hAnsi="Times New Roman" w:cs="Times New Roman"/>
          <w:color w:val="333333"/>
          <w:spacing w:val="8"/>
          <w:sz w:val="30"/>
          <w:szCs w:val="30"/>
          <w:shd w:val="clear" w:color="auto" w:fill="FFFFFF"/>
        </w:rPr>
        <w:t>番禺校区化学大型仪器设备应用培训报名通知</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各相关单位</w:t>
      </w:r>
      <w:r>
        <w:rPr>
          <w:rFonts w:ascii="Times New Roman" w:eastAsia="微软雅黑" w:hAnsi="Times New Roman" w:cs="Times New Roman"/>
        </w:rPr>
        <w:t>:</w:t>
      </w:r>
    </w:p>
    <w:p w:rsidR="002160EF" w:rsidRDefault="00815432">
      <w:pPr>
        <w:rPr>
          <w:rFonts w:ascii="Times New Roman" w:eastAsia="微软雅黑" w:hAnsi="Times New Roman" w:cs="Times New Roman"/>
        </w:rPr>
      </w:pPr>
      <w:r>
        <w:rPr>
          <w:rFonts w:ascii="Times New Roman" w:eastAsia="微软雅黑" w:hAnsi="Times New Roman" w:cs="Times New Roman"/>
        </w:rPr>
        <w:t xml:space="preserve">     </w:t>
      </w:r>
      <w:r>
        <w:rPr>
          <w:rFonts w:ascii="Times New Roman" w:eastAsia="微软雅黑" w:hAnsi="Times New Roman" w:cs="Times New Roman"/>
        </w:rPr>
        <w:t>为进一步落实《国务院关于国家重大科研基础设施和大型科研仪器向社会开放的意见》（国发〔</w:t>
      </w:r>
      <w:r>
        <w:rPr>
          <w:rFonts w:ascii="Times New Roman" w:eastAsia="微软雅黑" w:hAnsi="Times New Roman" w:cs="Times New Roman"/>
        </w:rPr>
        <w:t>2014</w:t>
      </w:r>
      <w:r>
        <w:rPr>
          <w:rFonts w:ascii="Times New Roman" w:eastAsia="微软雅黑" w:hAnsi="Times New Roman" w:cs="Times New Roman"/>
        </w:rPr>
        <w:t>〕</w:t>
      </w:r>
      <w:r>
        <w:rPr>
          <w:rFonts w:ascii="Times New Roman" w:eastAsia="微软雅黑" w:hAnsi="Times New Roman" w:cs="Times New Roman"/>
        </w:rPr>
        <w:t>70</w:t>
      </w:r>
      <w:r>
        <w:rPr>
          <w:rFonts w:ascii="Times New Roman" w:eastAsia="微软雅黑" w:hAnsi="Times New Roman" w:cs="Times New Roman"/>
        </w:rPr>
        <w:t>号）文件精神，推进我校仪器设备全面开放共享，提高仪器设备使用效率，满足相关学科师生的科研要求，</w:t>
      </w:r>
      <w:proofErr w:type="gramStart"/>
      <w:r>
        <w:rPr>
          <w:rFonts w:ascii="Times New Roman" w:eastAsia="微软雅黑" w:hAnsi="Times New Roman" w:cs="Times New Roman" w:hint="eastAsia"/>
        </w:rPr>
        <w:t>现安排</w:t>
      </w:r>
      <w:proofErr w:type="gramEnd"/>
      <w:r>
        <w:rPr>
          <w:rFonts w:ascii="Times New Roman" w:eastAsia="微软雅黑" w:hAnsi="Times New Roman" w:cs="Times New Roman" w:hint="eastAsia"/>
        </w:rPr>
        <w:t>部分化学</w:t>
      </w:r>
      <w:r>
        <w:rPr>
          <w:rFonts w:ascii="Times New Roman" w:eastAsia="微软雅黑" w:hAnsi="Times New Roman" w:cs="Times New Roman"/>
        </w:rPr>
        <w:t>大型仪器设备应用培训，由实验室与设备管理处主办，药学院</w:t>
      </w:r>
      <w:r>
        <w:rPr>
          <w:rFonts w:ascii="Times New Roman" w:eastAsia="微软雅黑" w:hAnsi="Times New Roman" w:cs="Times New Roman" w:hint="eastAsia"/>
        </w:rPr>
        <w:t>公共科研平台化学测试中心</w:t>
      </w:r>
      <w:r>
        <w:rPr>
          <w:rFonts w:ascii="Times New Roman" w:eastAsia="微软雅黑" w:hAnsi="Times New Roman" w:cs="Times New Roman"/>
        </w:rPr>
        <w:t>承办</w:t>
      </w:r>
      <w:r>
        <w:rPr>
          <w:rFonts w:ascii="Times New Roman" w:eastAsia="微软雅黑" w:hAnsi="Times New Roman" w:cs="Times New Roman" w:hint="eastAsia"/>
        </w:rPr>
        <w:t>，</w:t>
      </w:r>
      <w:r>
        <w:rPr>
          <w:rFonts w:ascii="Times New Roman" w:eastAsia="微软雅黑" w:hAnsi="Times New Roman" w:cs="Times New Roman"/>
        </w:rPr>
        <w:t>具体安排如下</w:t>
      </w:r>
      <w:r>
        <w:rPr>
          <w:rFonts w:ascii="Times New Roman" w:eastAsia="微软雅黑" w:hAnsi="Times New Roman" w:cs="Times New Roman"/>
        </w:rPr>
        <w:t>:</w:t>
      </w:r>
    </w:p>
    <w:p w:rsidR="002160EF" w:rsidRDefault="00815432">
      <w:pPr>
        <w:pStyle w:val="a9"/>
        <w:numPr>
          <w:ilvl w:val="0"/>
          <w:numId w:val="2"/>
        </w:numPr>
        <w:ind w:firstLineChars="0"/>
        <w:rPr>
          <w:rFonts w:ascii="Times New Roman" w:eastAsia="微软雅黑" w:hAnsi="Times New Roman" w:cs="Times New Roman"/>
          <w:b/>
          <w:bCs/>
        </w:rPr>
      </w:pPr>
      <w:r>
        <w:rPr>
          <w:rFonts w:ascii="Times New Roman" w:eastAsia="微软雅黑" w:hAnsi="Times New Roman" w:cs="Times New Roman" w:hint="eastAsia"/>
          <w:b/>
          <w:bCs/>
        </w:rPr>
        <w:t>培训安排</w:t>
      </w:r>
    </w:p>
    <w:tbl>
      <w:tblPr>
        <w:tblStyle w:val="a7"/>
        <w:tblW w:w="0" w:type="auto"/>
        <w:tblLook w:val="04A0" w:firstRow="1" w:lastRow="0" w:firstColumn="1" w:lastColumn="0" w:noHBand="0" w:noVBand="1"/>
      </w:tblPr>
      <w:tblGrid>
        <w:gridCol w:w="1659"/>
        <w:gridCol w:w="1659"/>
        <w:gridCol w:w="1659"/>
        <w:gridCol w:w="1659"/>
        <w:gridCol w:w="1660"/>
      </w:tblGrid>
      <w:tr w:rsidR="002160EF" w:rsidTr="00195DDB">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sz w:val="24"/>
                <w:szCs w:val="24"/>
              </w:rPr>
              <w:t>培训日期</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sz w:val="24"/>
                <w:szCs w:val="24"/>
              </w:rPr>
              <w:t>培训时间</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sz w:val="24"/>
                <w:szCs w:val="24"/>
              </w:rPr>
              <w:t>培训内容</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sz w:val="24"/>
                <w:szCs w:val="24"/>
              </w:rPr>
              <w:t>培训地点</w:t>
            </w:r>
          </w:p>
        </w:tc>
        <w:tc>
          <w:tcPr>
            <w:tcW w:w="1660"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sz w:val="24"/>
                <w:szCs w:val="24"/>
              </w:rPr>
              <w:t>联系人</w:t>
            </w:r>
          </w:p>
        </w:tc>
      </w:tr>
      <w:tr w:rsidR="002160EF" w:rsidTr="00195DDB">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10</w:t>
            </w:r>
            <w:r w:rsidRPr="00815432">
              <w:rPr>
                <w:rFonts w:ascii="Times New Roman" w:eastAsia="微软雅黑" w:hAnsi="Times New Roman" w:cs="Times New Roman"/>
                <w:sz w:val="24"/>
                <w:szCs w:val="24"/>
              </w:rPr>
              <w:t>月</w:t>
            </w:r>
            <w:r w:rsidRPr="00815432">
              <w:rPr>
                <w:rFonts w:ascii="Times New Roman" w:eastAsia="微软雅黑" w:hAnsi="Times New Roman" w:cs="Times New Roman"/>
                <w:sz w:val="24"/>
                <w:szCs w:val="24"/>
              </w:rPr>
              <w:t>10</w:t>
            </w:r>
            <w:r w:rsidRPr="00815432">
              <w:rPr>
                <w:rFonts w:ascii="Times New Roman" w:eastAsia="微软雅黑" w:hAnsi="Times New Roman" w:cs="Times New Roman"/>
                <w:sz w:val="24"/>
                <w:szCs w:val="24"/>
              </w:rPr>
              <w:t>号</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sz w:val="24"/>
                <w:szCs w:val="24"/>
              </w:rPr>
              <w:t>1</w:t>
            </w:r>
            <w:r w:rsidRPr="00815432">
              <w:rPr>
                <w:rFonts w:ascii="Times New Roman" w:eastAsia="微软雅黑" w:hAnsi="Times New Roman" w:cs="Times New Roman" w:hint="eastAsia"/>
                <w:sz w:val="24"/>
                <w:szCs w:val="24"/>
              </w:rPr>
              <w:t>0</w:t>
            </w:r>
            <w:r w:rsidRPr="00815432">
              <w:rPr>
                <w:rFonts w:ascii="Times New Roman" w:eastAsia="微软雅黑" w:hAnsi="Times New Roman" w:cs="Times New Roman"/>
                <w:sz w:val="24"/>
                <w:szCs w:val="24"/>
              </w:rPr>
              <w:t>:00-1</w:t>
            </w:r>
            <w:r w:rsidRPr="00815432">
              <w:rPr>
                <w:rFonts w:ascii="Times New Roman" w:eastAsia="微软雅黑" w:hAnsi="Times New Roman" w:cs="Times New Roman" w:hint="eastAsia"/>
                <w:sz w:val="24"/>
                <w:szCs w:val="24"/>
              </w:rPr>
              <w:t>1</w:t>
            </w:r>
            <w:r w:rsidRPr="00815432">
              <w:rPr>
                <w:rFonts w:ascii="Times New Roman" w:eastAsia="微软雅黑" w:hAnsi="Times New Roman" w:cs="Times New Roman"/>
                <w:sz w:val="24"/>
                <w:szCs w:val="24"/>
              </w:rPr>
              <w:t>:</w:t>
            </w:r>
            <w:r w:rsidRPr="00815432">
              <w:rPr>
                <w:rFonts w:ascii="Times New Roman" w:eastAsia="微软雅黑" w:hAnsi="Times New Roman" w:cs="Times New Roman" w:hint="eastAsia"/>
                <w:sz w:val="24"/>
                <w:szCs w:val="24"/>
              </w:rPr>
              <w:t>3</w:t>
            </w:r>
            <w:r w:rsidRPr="00815432">
              <w:rPr>
                <w:rFonts w:ascii="Times New Roman" w:eastAsia="微软雅黑" w:hAnsi="Times New Roman" w:cs="Times New Roman"/>
                <w:sz w:val="24"/>
                <w:szCs w:val="24"/>
              </w:rPr>
              <w:t>0</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三重四</w:t>
            </w:r>
            <w:proofErr w:type="gramStart"/>
            <w:r w:rsidRPr="00815432">
              <w:rPr>
                <w:rFonts w:ascii="Times New Roman" w:eastAsia="微软雅黑" w:hAnsi="Times New Roman" w:cs="Times New Roman" w:hint="eastAsia"/>
                <w:sz w:val="24"/>
                <w:szCs w:val="24"/>
              </w:rPr>
              <w:t>极</w:t>
            </w:r>
            <w:proofErr w:type="gramEnd"/>
            <w:r w:rsidRPr="00815432">
              <w:rPr>
                <w:rFonts w:ascii="Times New Roman" w:eastAsia="微软雅黑" w:hAnsi="Times New Roman" w:cs="Times New Roman" w:hint="eastAsia"/>
                <w:sz w:val="24"/>
                <w:szCs w:val="24"/>
              </w:rPr>
              <w:t>杆气质联用仪</w:t>
            </w:r>
            <w:r w:rsidRPr="00815432">
              <w:rPr>
                <w:rFonts w:ascii="Times New Roman" w:eastAsia="微软雅黑" w:hAnsi="Times New Roman" w:cs="Times New Roman" w:hint="eastAsia"/>
                <w:sz w:val="24"/>
                <w:szCs w:val="24"/>
              </w:rPr>
              <w:t>(</w:t>
            </w:r>
            <w:r w:rsidRPr="00815432">
              <w:rPr>
                <w:rFonts w:ascii="Times New Roman" w:eastAsia="微软雅黑" w:hAnsi="Times New Roman" w:cs="Times New Roman"/>
                <w:sz w:val="24"/>
                <w:szCs w:val="24"/>
              </w:rPr>
              <w:t>7890</w:t>
            </w:r>
            <w:r w:rsidRPr="00815432">
              <w:rPr>
                <w:rFonts w:ascii="Times New Roman" w:eastAsia="微软雅黑" w:hAnsi="Times New Roman" w:cs="Times New Roman" w:hint="eastAsia"/>
                <w:sz w:val="24"/>
                <w:szCs w:val="24"/>
              </w:rPr>
              <w:t>B</w:t>
            </w:r>
            <w:r w:rsidRPr="00815432">
              <w:rPr>
                <w:rFonts w:ascii="Times New Roman" w:eastAsia="微软雅黑" w:hAnsi="Times New Roman" w:cs="Times New Roman"/>
                <w:sz w:val="24"/>
                <w:szCs w:val="24"/>
              </w:rPr>
              <w:t>-7000</w:t>
            </w:r>
            <w:r w:rsidRPr="00815432">
              <w:rPr>
                <w:rFonts w:ascii="Times New Roman" w:eastAsia="微软雅黑" w:hAnsi="Times New Roman" w:cs="Times New Roman" w:hint="eastAsia"/>
                <w:sz w:val="24"/>
                <w:szCs w:val="24"/>
              </w:rPr>
              <w:t>D</w:t>
            </w:r>
            <w:r w:rsidRPr="00815432">
              <w:rPr>
                <w:rFonts w:ascii="Times New Roman" w:eastAsia="微软雅黑" w:hAnsi="Times New Roman" w:cs="Times New Roman"/>
                <w:sz w:val="24"/>
                <w:szCs w:val="24"/>
              </w:rPr>
              <w:t>)</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番禺校区</w:t>
            </w:r>
            <w:r w:rsidRPr="00815432">
              <w:rPr>
                <w:rFonts w:ascii="Times New Roman" w:eastAsia="微软雅黑" w:hAnsi="Times New Roman" w:cs="Times New Roman" w:hint="eastAsia"/>
                <w:sz w:val="24"/>
                <w:szCs w:val="24"/>
              </w:rPr>
              <w:t>F</w:t>
            </w:r>
            <w:r w:rsidRPr="00815432">
              <w:rPr>
                <w:rFonts w:ascii="Times New Roman" w:eastAsia="微软雅黑" w:hAnsi="Times New Roman" w:cs="Times New Roman"/>
                <w:sz w:val="24"/>
                <w:szCs w:val="24"/>
              </w:rPr>
              <w:t>2</w:t>
            </w:r>
            <w:r w:rsidRPr="00815432">
              <w:rPr>
                <w:rFonts w:ascii="Times New Roman" w:eastAsia="微软雅黑" w:hAnsi="Times New Roman" w:cs="Times New Roman" w:hint="eastAsia"/>
                <w:sz w:val="24"/>
                <w:szCs w:val="24"/>
              </w:rPr>
              <w:t>栋药学院</w:t>
            </w:r>
            <w:r w:rsidRPr="00815432">
              <w:rPr>
                <w:rFonts w:ascii="Times New Roman" w:eastAsia="微软雅黑" w:hAnsi="Times New Roman" w:cs="Times New Roman" w:hint="eastAsia"/>
                <w:sz w:val="24"/>
                <w:szCs w:val="24"/>
              </w:rPr>
              <w:t>1</w:t>
            </w:r>
            <w:r w:rsidRPr="00815432">
              <w:rPr>
                <w:rFonts w:ascii="Times New Roman" w:eastAsia="微软雅黑" w:hAnsi="Times New Roman" w:cs="Times New Roman"/>
                <w:sz w:val="24"/>
                <w:szCs w:val="24"/>
              </w:rPr>
              <w:t>05</w:t>
            </w:r>
            <w:r w:rsidRPr="00815432">
              <w:rPr>
                <w:rFonts w:ascii="Times New Roman" w:eastAsia="微软雅黑" w:hAnsi="Times New Roman" w:cs="Times New Roman" w:hint="eastAsia"/>
                <w:sz w:val="24"/>
                <w:szCs w:val="24"/>
              </w:rPr>
              <w:t>室</w:t>
            </w:r>
          </w:p>
        </w:tc>
        <w:tc>
          <w:tcPr>
            <w:tcW w:w="1660"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曾老师</w:t>
            </w:r>
          </w:p>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1</w:t>
            </w:r>
            <w:r w:rsidRPr="00815432">
              <w:rPr>
                <w:rFonts w:ascii="Times New Roman" w:eastAsia="微软雅黑" w:hAnsi="Times New Roman" w:cs="Times New Roman"/>
                <w:sz w:val="24"/>
                <w:szCs w:val="24"/>
              </w:rPr>
              <w:t>9860019180</w:t>
            </w:r>
          </w:p>
        </w:tc>
      </w:tr>
      <w:tr w:rsidR="002160EF" w:rsidTr="00195DDB">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10</w:t>
            </w:r>
            <w:r w:rsidRPr="00815432">
              <w:rPr>
                <w:rFonts w:ascii="Times New Roman" w:eastAsia="微软雅黑" w:hAnsi="Times New Roman" w:cs="Times New Roman"/>
                <w:sz w:val="24"/>
                <w:szCs w:val="24"/>
              </w:rPr>
              <w:t>月</w:t>
            </w:r>
            <w:r w:rsidRPr="00815432">
              <w:rPr>
                <w:rFonts w:ascii="Times New Roman" w:eastAsia="微软雅黑" w:hAnsi="Times New Roman" w:cs="Times New Roman"/>
                <w:sz w:val="24"/>
                <w:szCs w:val="24"/>
              </w:rPr>
              <w:t>11</w:t>
            </w:r>
            <w:r w:rsidRPr="00815432">
              <w:rPr>
                <w:rFonts w:ascii="Times New Roman" w:eastAsia="微软雅黑" w:hAnsi="Times New Roman" w:cs="Times New Roman"/>
                <w:sz w:val="24"/>
                <w:szCs w:val="24"/>
              </w:rPr>
              <w:t>号</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sz w:val="24"/>
                <w:szCs w:val="24"/>
              </w:rPr>
              <w:t>10:00-1</w:t>
            </w:r>
            <w:r w:rsidRPr="00815432">
              <w:rPr>
                <w:rFonts w:ascii="Times New Roman" w:eastAsia="微软雅黑" w:hAnsi="Times New Roman" w:cs="Times New Roman" w:hint="eastAsia"/>
                <w:sz w:val="24"/>
                <w:szCs w:val="24"/>
              </w:rPr>
              <w:t>1</w:t>
            </w:r>
            <w:r w:rsidRPr="00815432">
              <w:rPr>
                <w:rFonts w:ascii="Times New Roman" w:eastAsia="微软雅黑" w:hAnsi="Times New Roman" w:cs="Times New Roman"/>
                <w:sz w:val="24"/>
                <w:szCs w:val="24"/>
              </w:rPr>
              <w:t>:00</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单晶衍射仪</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番禺校区</w:t>
            </w:r>
            <w:r w:rsidRPr="00815432">
              <w:rPr>
                <w:rFonts w:ascii="Times New Roman" w:eastAsia="微软雅黑" w:hAnsi="Times New Roman" w:cs="Times New Roman" w:hint="eastAsia"/>
                <w:sz w:val="24"/>
                <w:szCs w:val="24"/>
              </w:rPr>
              <w:t>F</w:t>
            </w:r>
            <w:r w:rsidRPr="00815432">
              <w:rPr>
                <w:rFonts w:ascii="Times New Roman" w:eastAsia="微软雅黑" w:hAnsi="Times New Roman" w:cs="Times New Roman"/>
                <w:sz w:val="24"/>
                <w:szCs w:val="24"/>
              </w:rPr>
              <w:t>2</w:t>
            </w:r>
            <w:r w:rsidRPr="00815432">
              <w:rPr>
                <w:rFonts w:ascii="Times New Roman" w:eastAsia="微软雅黑" w:hAnsi="Times New Roman" w:cs="Times New Roman" w:hint="eastAsia"/>
                <w:sz w:val="24"/>
                <w:szCs w:val="24"/>
              </w:rPr>
              <w:t>栋药学院</w:t>
            </w:r>
            <w:r w:rsidRPr="00815432">
              <w:rPr>
                <w:rFonts w:ascii="Times New Roman" w:eastAsia="微软雅黑" w:hAnsi="Times New Roman" w:cs="Times New Roman" w:hint="eastAsia"/>
                <w:sz w:val="24"/>
                <w:szCs w:val="24"/>
              </w:rPr>
              <w:t>111</w:t>
            </w:r>
            <w:r w:rsidRPr="00815432">
              <w:rPr>
                <w:rFonts w:ascii="Times New Roman" w:eastAsia="微软雅黑" w:hAnsi="Times New Roman" w:cs="Times New Roman" w:hint="eastAsia"/>
                <w:sz w:val="24"/>
                <w:szCs w:val="24"/>
              </w:rPr>
              <w:t>室</w:t>
            </w:r>
          </w:p>
        </w:tc>
        <w:tc>
          <w:tcPr>
            <w:tcW w:w="1660"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徐老师</w:t>
            </w:r>
          </w:p>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13560335859</w:t>
            </w:r>
          </w:p>
        </w:tc>
      </w:tr>
      <w:tr w:rsidR="002160EF" w:rsidTr="00195DDB">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10</w:t>
            </w:r>
            <w:r w:rsidRPr="00815432">
              <w:rPr>
                <w:rFonts w:ascii="Times New Roman" w:eastAsia="微软雅黑" w:hAnsi="Times New Roman" w:cs="Times New Roman"/>
                <w:sz w:val="24"/>
                <w:szCs w:val="24"/>
              </w:rPr>
              <w:t>月</w:t>
            </w:r>
            <w:r w:rsidRPr="00815432">
              <w:rPr>
                <w:rFonts w:ascii="Times New Roman" w:eastAsia="微软雅黑" w:hAnsi="Times New Roman" w:cs="Times New Roman"/>
                <w:sz w:val="24"/>
                <w:szCs w:val="24"/>
              </w:rPr>
              <w:t>1</w:t>
            </w:r>
            <w:r w:rsidRPr="00815432">
              <w:rPr>
                <w:rFonts w:ascii="Times New Roman" w:eastAsia="微软雅黑" w:hAnsi="Times New Roman" w:cs="Times New Roman" w:hint="eastAsia"/>
                <w:sz w:val="24"/>
                <w:szCs w:val="24"/>
              </w:rPr>
              <w:t>2</w:t>
            </w:r>
            <w:r w:rsidRPr="00815432">
              <w:rPr>
                <w:rFonts w:ascii="Times New Roman" w:eastAsia="微软雅黑" w:hAnsi="Times New Roman" w:cs="Times New Roman"/>
                <w:sz w:val="24"/>
                <w:szCs w:val="24"/>
              </w:rPr>
              <w:t>号</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09</w:t>
            </w:r>
            <w:r w:rsidRPr="00815432">
              <w:rPr>
                <w:rFonts w:ascii="Times New Roman" w:eastAsia="微软雅黑" w:hAnsi="Times New Roman" w:cs="Times New Roman"/>
                <w:sz w:val="24"/>
                <w:szCs w:val="24"/>
              </w:rPr>
              <w:t>:</w:t>
            </w:r>
            <w:r w:rsidRPr="00815432">
              <w:rPr>
                <w:rFonts w:ascii="Times New Roman" w:eastAsia="微软雅黑" w:hAnsi="Times New Roman" w:cs="Times New Roman" w:hint="eastAsia"/>
                <w:sz w:val="24"/>
                <w:szCs w:val="24"/>
              </w:rPr>
              <w:t>3</w:t>
            </w:r>
            <w:r w:rsidRPr="00815432">
              <w:rPr>
                <w:rFonts w:ascii="Times New Roman" w:eastAsia="微软雅黑" w:hAnsi="Times New Roman" w:cs="Times New Roman"/>
                <w:sz w:val="24"/>
                <w:szCs w:val="24"/>
              </w:rPr>
              <w:t>0-1</w:t>
            </w:r>
            <w:r w:rsidRPr="00815432">
              <w:rPr>
                <w:rFonts w:ascii="Times New Roman" w:eastAsia="微软雅黑" w:hAnsi="Times New Roman" w:cs="Times New Roman" w:hint="eastAsia"/>
                <w:sz w:val="24"/>
                <w:szCs w:val="24"/>
              </w:rPr>
              <w:t>5</w:t>
            </w:r>
            <w:r w:rsidRPr="00815432">
              <w:rPr>
                <w:rFonts w:ascii="Times New Roman" w:eastAsia="微软雅黑" w:hAnsi="Times New Roman" w:cs="Times New Roman"/>
                <w:sz w:val="24"/>
                <w:szCs w:val="24"/>
              </w:rPr>
              <w:t>:</w:t>
            </w:r>
            <w:r w:rsidRPr="00815432">
              <w:rPr>
                <w:rFonts w:ascii="Times New Roman" w:eastAsia="微软雅黑" w:hAnsi="Times New Roman" w:cs="Times New Roman" w:hint="eastAsia"/>
                <w:sz w:val="24"/>
                <w:szCs w:val="24"/>
              </w:rPr>
              <w:t>3</w:t>
            </w:r>
            <w:r w:rsidRPr="00815432">
              <w:rPr>
                <w:rFonts w:ascii="Times New Roman" w:eastAsia="微软雅黑" w:hAnsi="Times New Roman" w:cs="Times New Roman"/>
                <w:sz w:val="24"/>
                <w:szCs w:val="24"/>
              </w:rPr>
              <w:t>0</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400M</w:t>
            </w:r>
            <w:r w:rsidRPr="00815432">
              <w:rPr>
                <w:rFonts w:ascii="Times New Roman" w:eastAsia="微软雅黑" w:hAnsi="Times New Roman" w:cs="Times New Roman" w:hint="eastAsia"/>
                <w:sz w:val="24"/>
                <w:szCs w:val="24"/>
              </w:rPr>
              <w:t>核磁共振波谱仪</w:t>
            </w:r>
          </w:p>
        </w:tc>
        <w:tc>
          <w:tcPr>
            <w:tcW w:w="1659"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番禺校区</w:t>
            </w:r>
            <w:r w:rsidRPr="00815432">
              <w:rPr>
                <w:rFonts w:ascii="Times New Roman" w:eastAsia="微软雅黑" w:hAnsi="Times New Roman" w:cs="Times New Roman" w:hint="eastAsia"/>
                <w:sz w:val="24"/>
                <w:szCs w:val="24"/>
              </w:rPr>
              <w:t>D4</w:t>
            </w:r>
            <w:r w:rsidRPr="00815432">
              <w:rPr>
                <w:rFonts w:ascii="Times New Roman" w:eastAsia="微软雅黑" w:hAnsi="Times New Roman" w:cs="Times New Roman" w:hint="eastAsia"/>
                <w:sz w:val="24"/>
                <w:szCs w:val="24"/>
              </w:rPr>
              <w:t>栋</w:t>
            </w:r>
            <w:r w:rsidRPr="00815432">
              <w:rPr>
                <w:rFonts w:ascii="Times New Roman" w:eastAsia="微软雅黑" w:hAnsi="Times New Roman" w:cs="Times New Roman" w:hint="eastAsia"/>
                <w:sz w:val="24"/>
                <w:szCs w:val="24"/>
              </w:rPr>
              <w:t>138</w:t>
            </w:r>
            <w:r w:rsidRPr="00815432">
              <w:rPr>
                <w:rFonts w:ascii="Times New Roman" w:eastAsia="微软雅黑" w:hAnsi="Times New Roman" w:cs="Times New Roman" w:hint="eastAsia"/>
                <w:sz w:val="24"/>
                <w:szCs w:val="24"/>
              </w:rPr>
              <w:t>室</w:t>
            </w:r>
          </w:p>
        </w:tc>
        <w:tc>
          <w:tcPr>
            <w:tcW w:w="1660" w:type="dxa"/>
            <w:vAlign w:val="center"/>
          </w:tcPr>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范老师</w:t>
            </w:r>
          </w:p>
          <w:p w:rsidR="002160EF" w:rsidRPr="00815432" w:rsidRDefault="00815432" w:rsidP="00E83F13">
            <w:pPr>
              <w:jc w:val="center"/>
              <w:rPr>
                <w:rFonts w:ascii="Times New Roman" w:eastAsia="微软雅黑" w:hAnsi="Times New Roman" w:cs="Times New Roman"/>
                <w:sz w:val="24"/>
                <w:szCs w:val="24"/>
              </w:rPr>
            </w:pPr>
            <w:r w:rsidRPr="00815432">
              <w:rPr>
                <w:rFonts w:ascii="Times New Roman" w:eastAsia="微软雅黑" w:hAnsi="Times New Roman" w:cs="Times New Roman" w:hint="eastAsia"/>
                <w:sz w:val="24"/>
                <w:szCs w:val="24"/>
              </w:rPr>
              <w:t>13751840698</w:t>
            </w:r>
          </w:p>
        </w:tc>
      </w:tr>
    </w:tbl>
    <w:p w:rsidR="002160EF" w:rsidRDefault="00815432">
      <w:pPr>
        <w:rPr>
          <w:rFonts w:ascii="Times New Roman" w:eastAsia="微软雅黑" w:hAnsi="Times New Roman" w:cs="Times New Roman"/>
        </w:rPr>
      </w:pPr>
      <w:r>
        <w:rPr>
          <w:rFonts w:ascii="Times New Roman" w:eastAsia="微软雅黑" w:hAnsi="Times New Roman" w:cs="Times New Roman" w:hint="eastAsia"/>
        </w:rPr>
        <w:t>报名截止时间：</w:t>
      </w:r>
      <w:r>
        <w:rPr>
          <w:rFonts w:ascii="Times New Roman" w:eastAsia="微软雅黑" w:hAnsi="Times New Roman" w:cs="Times New Roman" w:hint="eastAsia"/>
        </w:rPr>
        <w:t>10</w:t>
      </w:r>
      <w:r>
        <w:rPr>
          <w:rFonts w:ascii="Times New Roman" w:eastAsia="微软雅黑" w:hAnsi="Times New Roman" w:cs="Times New Roman" w:hint="eastAsia"/>
        </w:rPr>
        <w:t>月</w:t>
      </w:r>
      <w:r>
        <w:rPr>
          <w:rFonts w:ascii="Times New Roman" w:eastAsia="微软雅黑" w:hAnsi="Times New Roman" w:cs="Times New Roman" w:hint="eastAsia"/>
        </w:rPr>
        <w:t>9</w:t>
      </w:r>
      <w:r>
        <w:rPr>
          <w:rFonts w:ascii="Times New Roman" w:eastAsia="微软雅黑" w:hAnsi="Times New Roman" w:cs="Times New Roman" w:hint="eastAsia"/>
        </w:rPr>
        <w:t>日</w:t>
      </w:r>
      <w:r>
        <w:rPr>
          <w:rFonts w:ascii="Times New Roman" w:eastAsia="微软雅黑" w:hAnsi="Times New Roman" w:cs="Times New Roman" w:hint="eastAsia"/>
        </w:rPr>
        <w:t xml:space="preserve"> 12:00</w:t>
      </w:r>
      <w:r>
        <w:rPr>
          <w:rFonts w:ascii="Times New Roman" w:eastAsia="微软雅黑" w:hAnsi="Times New Roman" w:cs="Times New Roman" w:hint="eastAsia"/>
        </w:rPr>
        <w:t>。</w:t>
      </w:r>
    </w:p>
    <w:p w:rsidR="002160EF" w:rsidRDefault="00815432">
      <w:pPr>
        <w:pStyle w:val="a9"/>
        <w:numPr>
          <w:ilvl w:val="0"/>
          <w:numId w:val="2"/>
        </w:numPr>
        <w:ind w:firstLineChars="0"/>
        <w:rPr>
          <w:rFonts w:ascii="Times New Roman" w:eastAsia="微软雅黑" w:hAnsi="Times New Roman" w:cs="Times New Roman"/>
          <w:b/>
          <w:bCs/>
        </w:rPr>
      </w:pPr>
      <w:r>
        <w:rPr>
          <w:rFonts w:ascii="Times New Roman" w:eastAsia="微软雅黑" w:hAnsi="Times New Roman" w:cs="Times New Roman" w:hint="eastAsia"/>
          <w:b/>
          <w:bCs/>
        </w:rPr>
        <w:t>培训要求</w:t>
      </w:r>
    </w:p>
    <w:p w:rsidR="002160EF" w:rsidRDefault="00815432">
      <w:pPr>
        <w:ind w:firstLineChars="200" w:firstLine="420"/>
        <w:rPr>
          <w:rFonts w:ascii="Times New Roman" w:eastAsia="微软雅黑" w:hAnsi="Times New Roman" w:cs="Times New Roman"/>
        </w:rPr>
      </w:pPr>
      <w:r>
        <w:rPr>
          <w:rFonts w:ascii="Times New Roman" w:eastAsia="微软雅黑" w:hAnsi="Times New Roman" w:cs="Times New Roman" w:hint="eastAsia"/>
        </w:rPr>
        <w:t>请在读硕士、博士研究生以课题组为单</w:t>
      </w:r>
      <w:bookmarkStart w:id="0" w:name="_GoBack"/>
      <w:bookmarkEnd w:id="0"/>
      <w:r>
        <w:rPr>
          <w:rFonts w:ascii="Times New Roman" w:eastAsia="微软雅黑" w:hAnsi="Times New Roman" w:cs="Times New Roman" w:hint="eastAsia"/>
        </w:rPr>
        <w:t>位报名（在校本科生暂不接受常规报名，特殊情</w:t>
      </w:r>
      <w:r>
        <w:rPr>
          <w:rFonts w:ascii="Times New Roman" w:eastAsia="微软雅黑" w:hAnsi="Times New Roman" w:cs="Times New Roman" w:hint="eastAsia"/>
        </w:rPr>
        <w:lastRenderedPageBreak/>
        <w:t>况请指导教师联系药学院公共科研平台化学测试中心），参加培训并考核合格者，经申请同意可开通相应仪器的预约使用权限。</w:t>
      </w:r>
    </w:p>
    <w:p w:rsidR="002160EF" w:rsidRDefault="00815432">
      <w:pPr>
        <w:rPr>
          <w:rFonts w:ascii="Times New Roman" w:eastAsia="微软雅黑" w:hAnsi="Times New Roman" w:cs="Times New Roman"/>
        </w:rPr>
      </w:pPr>
      <w:r>
        <w:rPr>
          <w:rFonts w:ascii="Times New Roman" w:eastAsia="微软雅黑" w:hAnsi="Times New Roman" w:cs="Times New Roman"/>
        </w:rPr>
        <w:t xml:space="preserve">     </w:t>
      </w:r>
      <w:r>
        <w:rPr>
          <w:rFonts w:ascii="Times New Roman" w:eastAsia="微软雅黑" w:hAnsi="Times New Roman" w:cs="Times New Roman" w:hint="eastAsia"/>
        </w:rPr>
        <w:t>参与培训人员需遵照我校疫情防控相关要求参加培训，并</w:t>
      </w:r>
      <w:proofErr w:type="gramStart"/>
      <w:r>
        <w:rPr>
          <w:rFonts w:ascii="Times New Roman" w:eastAsia="微软雅黑" w:hAnsi="Times New Roman" w:cs="Times New Roman" w:hint="eastAsia"/>
        </w:rPr>
        <w:t>统一扫码报名</w:t>
      </w:r>
      <w:proofErr w:type="gramEnd"/>
      <w:r>
        <w:rPr>
          <w:rFonts w:ascii="Times New Roman" w:eastAsia="微软雅黑" w:hAnsi="Times New Roman" w:cs="Times New Roman" w:hint="eastAsia"/>
        </w:rPr>
        <w:t>。</w:t>
      </w:r>
    </w:p>
    <w:p w:rsidR="002160EF" w:rsidRDefault="00815432">
      <w:pPr>
        <w:jc w:val="center"/>
      </w:pPr>
      <w:r>
        <w:rPr>
          <w:noProof/>
        </w:rPr>
        <w:drawing>
          <wp:inline distT="0" distB="0" distL="114300" distR="114300">
            <wp:extent cx="1463040" cy="1463040"/>
            <wp:effectExtent l="0" t="0" r="3810" b="38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5"/>
                    <a:stretch>
                      <a:fillRect/>
                    </a:stretch>
                  </pic:blipFill>
                  <pic:spPr>
                    <a:xfrm>
                      <a:off x="0" y="0"/>
                      <a:ext cx="1463040" cy="1463040"/>
                    </a:xfrm>
                    <a:prstGeom prst="rect">
                      <a:avLst/>
                    </a:prstGeom>
                    <a:noFill/>
                    <a:ln>
                      <a:noFill/>
                    </a:ln>
                  </pic:spPr>
                </pic:pic>
              </a:graphicData>
            </a:graphic>
          </wp:inline>
        </w:drawing>
      </w:r>
    </w:p>
    <w:p w:rsidR="002160EF" w:rsidRDefault="00815432">
      <w:pPr>
        <w:jc w:val="center"/>
        <w:rPr>
          <w:rFonts w:ascii="Times New Roman" w:eastAsia="微软雅黑" w:hAnsi="Times New Roman" w:cs="Times New Roman"/>
        </w:rPr>
      </w:pPr>
      <w:r>
        <w:rPr>
          <w:rFonts w:ascii="Times New Roman" w:eastAsia="微软雅黑" w:hAnsi="Times New Roman" w:cs="Times New Roman" w:hint="eastAsia"/>
        </w:rPr>
        <w:t>培训报名二维码</w:t>
      </w:r>
    </w:p>
    <w:p w:rsidR="002160EF" w:rsidRDefault="002160EF">
      <w:pPr>
        <w:rPr>
          <w:rFonts w:ascii="Times New Roman" w:eastAsia="微软雅黑" w:hAnsi="Times New Roman" w:cs="Times New Roman"/>
        </w:rPr>
      </w:pPr>
    </w:p>
    <w:p w:rsidR="002160EF" w:rsidRDefault="00815432">
      <w:pPr>
        <w:pStyle w:val="a9"/>
        <w:numPr>
          <w:ilvl w:val="0"/>
          <w:numId w:val="2"/>
        </w:numPr>
        <w:ind w:firstLineChars="0"/>
        <w:rPr>
          <w:rFonts w:ascii="Times New Roman" w:eastAsia="微软雅黑" w:hAnsi="Times New Roman" w:cs="Times New Roman"/>
          <w:b/>
          <w:bCs/>
        </w:rPr>
      </w:pPr>
      <w:r>
        <w:rPr>
          <w:rFonts w:ascii="Times New Roman" w:eastAsia="微软雅黑" w:hAnsi="Times New Roman" w:cs="Times New Roman" w:hint="eastAsia"/>
          <w:b/>
          <w:bCs/>
        </w:rPr>
        <w:t>三重四</w:t>
      </w:r>
      <w:proofErr w:type="gramStart"/>
      <w:r>
        <w:rPr>
          <w:rFonts w:ascii="Times New Roman" w:eastAsia="微软雅黑" w:hAnsi="Times New Roman" w:cs="Times New Roman" w:hint="eastAsia"/>
          <w:b/>
          <w:bCs/>
        </w:rPr>
        <w:t>极</w:t>
      </w:r>
      <w:proofErr w:type="gramEnd"/>
      <w:r>
        <w:rPr>
          <w:rFonts w:ascii="Times New Roman" w:eastAsia="微软雅黑" w:hAnsi="Times New Roman" w:cs="Times New Roman" w:hint="eastAsia"/>
          <w:b/>
          <w:bCs/>
        </w:rPr>
        <w:t>杆气质联用仪仪器介绍</w:t>
      </w:r>
    </w:p>
    <w:p w:rsidR="002160EF" w:rsidRDefault="00815432">
      <w:pPr>
        <w:rPr>
          <w:rFonts w:ascii="Times New Roman" w:eastAsia="微软雅黑" w:hAnsi="Times New Roman" w:cs="Times New Roman"/>
          <w:b/>
          <w:bCs/>
        </w:rPr>
      </w:pPr>
      <w:r>
        <w:rPr>
          <w:rFonts w:ascii="Times New Roman" w:eastAsia="微软雅黑" w:hAnsi="Times New Roman" w:cs="Times New Roman" w:hint="eastAsia"/>
          <w:b/>
          <w:bCs/>
        </w:rPr>
        <w:t>(</w:t>
      </w:r>
      <w:r>
        <w:rPr>
          <w:rFonts w:ascii="Times New Roman" w:eastAsia="微软雅黑" w:hAnsi="Times New Roman" w:cs="Times New Roman"/>
          <w:b/>
          <w:bCs/>
        </w:rPr>
        <w:t>1)</w:t>
      </w:r>
      <w:r>
        <w:rPr>
          <w:rFonts w:ascii="Times New Roman" w:eastAsia="微软雅黑" w:hAnsi="Times New Roman" w:cs="Times New Roman" w:hint="eastAsia"/>
          <w:b/>
          <w:bCs/>
        </w:rPr>
        <w:t>功能特色</w:t>
      </w:r>
    </w:p>
    <w:p w:rsidR="002160EF" w:rsidRDefault="00815432">
      <w:pPr>
        <w:rPr>
          <w:rFonts w:ascii="Times New Roman" w:eastAsia="微软雅黑" w:hAnsi="Times New Roman" w:cs="Times New Roman"/>
        </w:rPr>
      </w:pPr>
      <w:r>
        <w:rPr>
          <w:rFonts w:ascii="Times New Roman" w:eastAsia="微软雅黑" w:hAnsi="Times New Roman" w:cs="Times New Roman"/>
        </w:rPr>
        <w:fldChar w:fldCharType="begin"/>
      </w:r>
      <w:r>
        <w:rPr>
          <w:rFonts w:ascii="Times New Roman" w:eastAsia="微软雅黑" w:hAnsi="Times New Roman" w:cs="Times New Roman"/>
        </w:rPr>
        <w:instrText xml:space="preserve"> </w:instrText>
      </w:r>
      <w:r>
        <w:rPr>
          <w:rFonts w:ascii="Times New Roman" w:eastAsia="微软雅黑" w:hAnsi="Times New Roman" w:cs="Times New Roman" w:hint="eastAsia"/>
        </w:rPr>
        <w:instrText>= 1 \* GB3</w:instrText>
      </w:r>
      <w:r>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Pr>
          <w:rFonts w:ascii="Times New Roman" w:eastAsia="微软雅黑" w:hAnsi="Times New Roman" w:cs="Times New Roman" w:hint="eastAsia"/>
        </w:rPr>
        <w:t>①</w:t>
      </w:r>
      <w:r>
        <w:rPr>
          <w:rFonts w:ascii="Times New Roman" w:eastAsia="微软雅黑" w:hAnsi="Times New Roman" w:cs="Times New Roman"/>
        </w:rPr>
        <w:fldChar w:fldCharType="end"/>
      </w:r>
      <w:r>
        <w:t xml:space="preserve"> </w:t>
      </w:r>
      <w:r>
        <w:rPr>
          <w:rFonts w:ascii="Times New Roman" w:eastAsia="微软雅黑" w:hAnsi="Times New Roman" w:cs="Times New Roman"/>
        </w:rPr>
        <w:t>Agilent 7890B</w:t>
      </w:r>
      <w:r>
        <w:rPr>
          <w:rFonts w:ascii="Times New Roman" w:eastAsia="微软雅黑" w:hAnsi="Times New Roman" w:cs="Times New Roman"/>
        </w:rPr>
        <w:t>可大体积进样，省去样品浓缩步骤，具备快速气相色谱的所有功能，比标准气相色谱仪快</w:t>
      </w:r>
      <w:r>
        <w:rPr>
          <w:rFonts w:ascii="Times New Roman" w:eastAsia="微软雅黑" w:hAnsi="Times New Roman" w:cs="Times New Roman"/>
        </w:rPr>
        <w:t>10</w:t>
      </w:r>
      <w:r>
        <w:rPr>
          <w:rFonts w:ascii="Times New Roman" w:eastAsia="微软雅黑" w:hAnsi="Times New Roman" w:cs="Times New Roman"/>
        </w:rPr>
        <w:t>倍，</w:t>
      </w:r>
      <w:proofErr w:type="gramStart"/>
      <w:r>
        <w:rPr>
          <w:rFonts w:ascii="Times New Roman" w:eastAsia="微软雅黑" w:hAnsi="Times New Roman" w:cs="Times New Roman"/>
        </w:rPr>
        <w:t>内置法规</w:t>
      </w:r>
      <w:proofErr w:type="gramEnd"/>
      <w:r>
        <w:rPr>
          <w:rFonts w:ascii="Times New Roman" w:eastAsia="微软雅黑" w:hAnsi="Times New Roman" w:cs="Times New Roman"/>
        </w:rPr>
        <w:t>遵从功能。</w:t>
      </w:r>
    </w:p>
    <w:p w:rsidR="002160EF" w:rsidRDefault="00815432">
      <w:pPr>
        <w:rPr>
          <w:rFonts w:ascii="Times New Roman" w:eastAsia="微软雅黑" w:hAnsi="Times New Roman" w:cs="Times New Roman"/>
        </w:rPr>
      </w:pPr>
      <w:r>
        <w:rPr>
          <w:rFonts w:ascii="Times New Roman" w:eastAsia="微软雅黑" w:hAnsi="Times New Roman" w:cs="Times New Roman"/>
        </w:rPr>
        <w:fldChar w:fldCharType="begin"/>
      </w:r>
      <w:r>
        <w:rPr>
          <w:rFonts w:ascii="Times New Roman" w:eastAsia="微软雅黑" w:hAnsi="Times New Roman" w:cs="Times New Roman"/>
        </w:rPr>
        <w:instrText xml:space="preserve"> </w:instrText>
      </w:r>
      <w:r>
        <w:rPr>
          <w:rFonts w:ascii="Times New Roman" w:eastAsia="微软雅黑" w:hAnsi="Times New Roman" w:cs="Times New Roman" w:hint="eastAsia"/>
        </w:rPr>
        <w:instrText>= 2 \* GB3</w:instrText>
      </w:r>
      <w:r>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Pr>
          <w:rFonts w:ascii="Times New Roman" w:eastAsia="微软雅黑" w:hAnsi="Times New Roman" w:cs="Times New Roman" w:hint="eastAsia"/>
        </w:rPr>
        <w:t>②</w:t>
      </w:r>
      <w:r>
        <w:rPr>
          <w:rFonts w:ascii="Times New Roman" w:eastAsia="微软雅黑" w:hAnsi="Times New Roman" w:cs="Times New Roman"/>
        </w:rPr>
        <w:fldChar w:fldCharType="end"/>
      </w:r>
      <w:r>
        <w:rPr>
          <w:rFonts w:ascii="Times New Roman" w:eastAsia="微软雅黑" w:hAnsi="Times New Roman" w:cs="Times New Roman" w:hint="eastAsia"/>
        </w:rPr>
        <w:t>串联的</w:t>
      </w:r>
      <w:r>
        <w:rPr>
          <w:rFonts w:ascii="Times New Roman" w:eastAsia="微软雅黑" w:hAnsi="Times New Roman" w:cs="Times New Roman"/>
        </w:rPr>
        <w:t>7000D</w:t>
      </w:r>
      <w:r>
        <w:rPr>
          <w:rFonts w:ascii="Times New Roman" w:eastAsia="微软雅黑" w:hAnsi="Times New Roman" w:cs="Times New Roman"/>
        </w:rPr>
        <w:t>三重四</w:t>
      </w:r>
      <w:proofErr w:type="gramStart"/>
      <w:r>
        <w:rPr>
          <w:rFonts w:ascii="Times New Roman" w:eastAsia="微软雅黑" w:hAnsi="Times New Roman" w:cs="Times New Roman"/>
        </w:rPr>
        <w:t>极</w:t>
      </w:r>
      <w:proofErr w:type="gramEnd"/>
      <w:r>
        <w:rPr>
          <w:rFonts w:ascii="Times New Roman" w:eastAsia="微软雅黑" w:hAnsi="Times New Roman" w:cs="Times New Roman"/>
        </w:rPr>
        <w:t>杆质谱采用</w:t>
      </w:r>
      <w:proofErr w:type="spellStart"/>
      <w:r>
        <w:rPr>
          <w:rFonts w:ascii="Times New Roman" w:eastAsia="微软雅黑" w:hAnsi="Times New Roman" w:cs="Times New Roman"/>
        </w:rPr>
        <w:t>dMRM</w:t>
      </w:r>
      <w:proofErr w:type="spellEnd"/>
      <w:r>
        <w:rPr>
          <w:rFonts w:ascii="Times New Roman" w:eastAsia="微软雅黑" w:hAnsi="Times New Roman" w:cs="Times New Roman"/>
        </w:rPr>
        <w:t>采集模式，利用可加热镀金四极杆、三轴</w:t>
      </w:r>
      <w:r>
        <w:rPr>
          <w:rFonts w:ascii="Times New Roman" w:eastAsia="微软雅黑" w:hAnsi="Times New Roman" w:cs="Times New Roman"/>
        </w:rPr>
        <w:t xml:space="preserve"> HED-EM </w:t>
      </w:r>
      <w:r>
        <w:rPr>
          <w:rFonts w:ascii="Times New Roman" w:eastAsia="微软雅黑" w:hAnsi="Times New Roman" w:cs="Times New Roman"/>
        </w:rPr>
        <w:t>检测器和快速排气功能减少了常见污染物、中性噪音，提高了质谱性能，从而获得理想的实验结果。</w:t>
      </w:r>
    </w:p>
    <w:p w:rsidR="002160EF" w:rsidRDefault="00815432">
      <w:pPr>
        <w:rPr>
          <w:rFonts w:ascii="Times New Roman" w:eastAsia="微软雅黑" w:hAnsi="Times New Roman" w:cs="Times New Roman"/>
        </w:rPr>
      </w:pPr>
      <w:r>
        <w:rPr>
          <w:rFonts w:ascii="Times New Roman" w:eastAsia="微软雅黑" w:hAnsi="Times New Roman" w:cs="Times New Roman"/>
        </w:rPr>
        <w:fldChar w:fldCharType="begin"/>
      </w:r>
      <w:r>
        <w:rPr>
          <w:rFonts w:ascii="Times New Roman" w:eastAsia="微软雅黑" w:hAnsi="Times New Roman" w:cs="Times New Roman"/>
        </w:rPr>
        <w:instrText xml:space="preserve"> </w:instrText>
      </w:r>
      <w:r>
        <w:rPr>
          <w:rFonts w:ascii="Times New Roman" w:eastAsia="微软雅黑" w:hAnsi="Times New Roman" w:cs="Times New Roman" w:hint="eastAsia"/>
        </w:rPr>
        <w:instrText>= 3 \* GB3</w:instrText>
      </w:r>
      <w:r>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Pr>
          <w:rFonts w:ascii="Times New Roman" w:eastAsia="微软雅黑" w:hAnsi="Times New Roman" w:cs="Times New Roman" w:hint="eastAsia"/>
        </w:rPr>
        <w:t>③</w:t>
      </w:r>
      <w:r>
        <w:rPr>
          <w:rFonts w:ascii="Times New Roman" w:eastAsia="微软雅黑" w:hAnsi="Times New Roman" w:cs="Times New Roman"/>
        </w:rPr>
        <w:fldChar w:fldCharType="end"/>
      </w:r>
      <w:r>
        <w:rPr>
          <w:rFonts w:ascii="Times New Roman" w:eastAsia="微软雅黑" w:hAnsi="Times New Roman" w:cs="Times New Roman" w:hint="eastAsia"/>
        </w:rPr>
        <w:t>具有保留时间锁定软件，无论何时何地都可以将方法转移至另外</w:t>
      </w:r>
      <w:proofErr w:type="gramStart"/>
      <w:r>
        <w:rPr>
          <w:rFonts w:ascii="Times New Roman" w:eastAsia="微软雅黑" w:hAnsi="Times New Roman" w:cs="Times New Roman" w:hint="eastAsia"/>
        </w:rPr>
        <w:t>一</w:t>
      </w:r>
      <w:proofErr w:type="gramEnd"/>
      <w:r>
        <w:rPr>
          <w:rFonts w:ascii="Times New Roman" w:eastAsia="微软雅黑" w:hAnsi="Times New Roman" w:cs="Times New Roman" w:hint="eastAsia"/>
        </w:rPr>
        <w:t>台安捷伦气相色色谱仪使用。可将色谱图的保留时间以及质谱图的相关数据与数据库对比确定未知化合物分子式、分子量及其结构。</w:t>
      </w:r>
    </w:p>
    <w:p w:rsidR="002160EF" w:rsidRDefault="00815432">
      <w:pPr>
        <w:rPr>
          <w:rFonts w:ascii="Times New Roman" w:eastAsia="微软雅黑" w:hAnsi="Times New Roman" w:cs="Times New Roman"/>
          <w:b/>
          <w:bCs/>
        </w:rPr>
      </w:pPr>
      <w:r>
        <w:rPr>
          <w:rFonts w:ascii="Times New Roman" w:eastAsia="微软雅黑" w:hAnsi="Times New Roman" w:cs="Times New Roman" w:hint="eastAsia"/>
          <w:b/>
          <w:bCs/>
        </w:rPr>
        <w:t>(</w:t>
      </w:r>
      <w:r>
        <w:rPr>
          <w:rFonts w:ascii="Times New Roman" w:eastAsia="微软雅黑" w:hAnsi="Times New Roman" w:cs="Times New Roman"/>
          <w:b/>
          <w:bCs/>
        </w:rPr>
        <w:t>2)</w:t>
      </w:r>
      <w:r>
        <w:rPr>
          <w:rFonts w:ascii="Times New Roman" w:eastAsia="微软雅黑" w:hAnsi="Times New Roman" w:cs="Times New Roman" w:hint="eastAsia"/>
          <w:b/>
          <w:bCs/>
        </w:rPr>
        <w:t>技术参数</w:t>
      </w:r>
    </w:p>
    <w:p w:rsidR="002160EF" w:rsidRDefault="00815432">
      <w:pPr>
        <w:rPr>
          <w:rFonts w:ascii="Times New Roman" w:eastAsia="微软雅黑" w:hAnsi="Times New Roman" w:cs="Times New Roman"/>
          <w:b/>
          <w:bCs/>
        </w:rPr>
      </w:pPr>
      <w:r>
        <w:rPr>
          <w:rFonts w:ascii="Times New Roman" w:eastAsia="微软雅黑" w:hAnsi="Times New Roman" w:cs="Times New Roman" w:hint="eastAsia"/>
          <w:b/>
          <w:bCs/>
        </w:rPr>
        <w:t>气相部分</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流路压力设定范围：</w:t>
      </w:r>
      <w:r>
        <w:rPr>
          <w:rFonts w:ascii="Times New Roman" w:eastAsia="微软雅黑" w:hAnsi="Times New Roman" w:cs="Times New Roman"/>
        </w:rPr>
        <w:t>0-150 psi</w:t>
      </w:r>
      <w:r>
        <w:rPr>
          <w:rFonts w:ascii="Times New Roman" w:eastAsia="微软雅黑" w:hAnsi="Times New Roman" w:cs="Times New Roman"/>
        </w:rPr>
        <w:t>，流量设定范围：</w:t>
      </w:r>
      <w:r>
        <w:rPr>
          <w:rFonts w:ascii="Times New Roman" w:eastAsia="微软雅黑" w:hAnsi="Times New Roman" w:cs="Times New Roman"/>
        </w:rPr>
        <w:t>0-1250mL/min</w:t>
      </w:r>
      <w:r>
        <w:rPr>
          <w:rFonts w:ascii="Times New Roman" w:eastAsia="微软雅黑" w:hAnsi="Times New Roman" w:cs="Times New Roman"/>
        </w:rPr>
        <w:t>；</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分流</w:t>
      </w:r>
      <w:r>
        <w:rPr>
          <w:rFonts w:ascii="Times New Roman" w:eastAsia="微软雅黑" w:hAnsi="Times New Roman" w:cs="Times New Roman"/>
        </w:rPr>
        <w:t>/</w:t>
      </w:r>
      <w:r>
        <w:rPr>
          <w:rFonts w:ascii="Times New Roman" w:eastAsia="微软雅黑" w:hAnsi="Times New Roman" w:cs="Times New Roman"/>
        </w:rPr>
        <w:t>不分流进样</w:t>
      </w:r>
      <w:proofErr w:type="gramStart"/>
      <w:r>
        <w:rPr>
          <w:rFonts w:ascii="Times New Roman" w:eastAsia="微软雅黑" w:hAnsi="Times New Roman" w:cs="Times New Roman"/>
        </w:rPr>
        <w:t>口最高</w:t>
      </w:r>
      <w:proofErr w:type="gramEnd"/>
      <w:r>
        <w:rPr>
          <w:rFonts w:ascii="Times New Roman" w:eastAsia="微软雅黑" w:hAnsi="Times New Roman" w:cs="Times New Roman"/>
        </w:rPr>
        <w:t>使用温度：</w:t>
      </w:r>
      <w:r>
        <w:rPr>
          <w:rFonts w:ascii="Times New Roman" w:eastAsia="微软雅黑" w:hAnsi="Times New Roman" w:cs="Times New Roman"/>
        </w:rPr>
        <w:t>400˚C</w:t>
      </w:r>
      <w:r>
        <w:rPr>
          <w:rFonts w:ascii="Times New Roman" w:eastAsia="微软雅黑" w:hAnsi="Times New Roman" w:cs="Times New Roman"/>
        </w:rPr>
        <w:t>；</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lastRenderedPageBreak/>
        <w:t>配置柱中和柱后反吹部件；</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液体自动进样器：进</w:t>
      </w:r>
      <w:proofErr w:type="gramStart"/>
      <w:r>
        <w:rPr>
          <w:rFonts w:ascii="Times New Roman" w:eastAsia="微软雅黑" w:hAnsi="Times New Roman" w:cs="Times New Roman" w:hint="eastAsia"/>
        </w:rPr>
        <w:t>样范围</w:t>
      </w:r>
      <w:proofErr w:type="gramEnd"/>
      <w:r>
        <w:rPr>
          <w:rFonts w:ascii="Times New Roman" w:eastAsia="微软雅黑" w:hAnsi="Times New Roman" w:cs="Times New Roman" w:hint="eastAsia"/>
        </w:rPr>
        <w:t>为</w:t>
      </w:r>
      <w:r>
        <w:rPr>
          <w:rFonts w:ascii="Times New Roman" w:eastAsia="微软雅黑" w:hAnsi="Times New Roman" w:cs="Times New Roman"/>
        </w:rPr>
        <w:t>0.1-50μL</w:t>
      </w:r>
      <w:r>
        <w:rPr>
          <w:rFonts w:ascii="Times New Roman" w:eastAsia="微软雅黑" w:hAnsi="Times New Roman" w:cs="Times New Roman"/>
        </w:rPr>
        <w:t>之间，样品瓶位数为</w:t>
      </w:r>
      <w:r>
        <w:rPr>
          <w:rFonts w:ascii="Times New Roman" w:eastAsia="微软雅黑" w:hAnsi="Times New Roman" w:cs="Times New Roman"/>
        </w:rPr>
        <w:t>16</w:t>
      </w:r>
      <w:r>
        <w:rPr>
          <w:rFonts w:ascii="Times New Roman" w:eastAsia="微软雅黑" w:hAnsi="Times New Roman" w:cs="Times New Roman"/>
        </w:rPr>
        <w:t>位；</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顶空进样器：样品数为</w:t>
      </w:r>
      <w:r>
        <w:rPr>
          <w:rFonts w:ascii="Times New Roman" w:eastAsia="微软雅黑" w:hAnsi="Times New Roman" w:cs="Times New Roman"/>
        </w:rPr>
        <w:t>12</w:t>
      </w:r>
      <w:r>
        <w:rPr>
          <w:rFonts w:ascii="Times New Roman" w:eastAsia="微软雅黑" w:hAnsi="Times New Roman" w:cs="Times New Roman"/>
        </w:rPr>
        <w:t>位，样品瓶为</w:t>
      </w:r>
      <w:r>
        <w:rPr>
          <w:rFonts w:ascii="Times New Roman" w:eastAsia="微软雅黑" w:hAnsi="Times New Roman" w:cs="Times New Roman"/>
        </w:rPr>
        <w:t>10</w:t>
      </w:r>
      <w:r>
        <w:rPr>
          <w:rFonts w:ascii="Times New Roman" w:eastAsia="微软雅黑" w:hAnsi="Times New Roman" w:cs="Times New Roman"/>
        </w:rPr>
        <w:t>或</w:t>
      </w:r>
      <w:r>
        <w:rPr>
          <w:rFonts w:ascii="Times New Roman" w:eastAsia="微软雅黑" w:hAnsi="Times New Roman" w:cs="Times New Roman"/>
        </w:rPr>
        <w:t>20mL</w:t>
      </w:r>
      <w:r>
        <w:rPr>
          <w:rFonts w:ascii="Times New Roman" w:eastAsia="微软雅黑" w:hAnsi="Times New Roman" w:cs="Times New Roman"/>
        </w:rPr>
        <w:t>。</w:t>
      </w:r>
    </w:p>
    <w:p w:rsidR="002160EF" w:rsidRDefault="00815432">
      <w:pPr>
        <w:rPr>
          <w:rFonts w:ascii="Times New Roman" w:eastAsia="微软雅黑" w:hAnsi="Times New Roman" w:cs="Times New Roman"/>
          <w:b/>
          <w:bCs/>
        </w:rPr>
      </w:pPr>
      <w:r>
        <w:rPr>
          <w:rFonts w:ascii="Times New Roman" w:eastAsia="微软雅黑" w:hAnsi="Times New Roman" w:cs="Times New Roman" w:hint="eastAsia"/>
          <w:b/>
          <w:bCs/>
        </w:rPr>
        <w:t>质谱部分</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检测范围：</w:t>
      </w:r>
      <w:r>
        <w:rPr>
          <w:rFonts w:ascii="Times New Roman" w:eastAsia="微软雅黑" w:hAnsi="Times New Roman" w:cs="Times New Roman"/>
        </w:rPr>
        <w:t>10-1050 m/z</w:t>
      </w:r>
      <w:r>
        <w:rPr>
          <w:rFonts w:ascii="Times New Roman" w:eastAsia="微软雅黑" w:hAnsi="Times New Roman" w:cs="Times New Roman"/>
        </w:rPr>
        <w:t>；</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仪器检测限指标及灵敏度：</w:t>
      </w:r>
      <w:r>
        <w:rPr>
          <w:rFonts w:ascii="Times New Roman" w:eastAsia="微软雅黑" w:hAnsi="Times New Roman" w:cs="Times New Roman"/>
        </w:rPr>
        <w:t>IDL(MRM): 10fg OFN</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分辨率：</w:t>
      </w:r>
      <w:r>
        <w:rPr>
          <w:rFonts w:ascii="Times New Roman" w:eastAsia="微软雅黑" w:hAnsi="Times New Roman" w:cs="Times New Roman"/>
        </w:rPr>
        <w:t>0.4~4amu</w:t>
      </w:r>
      <w:r>
        <w:rPr>
          <w:rFonts w:ascii="Times New Roman" w:eastAsia="微软雅黑" w:hAnsi="Times New Roman" w:cs="Times New Roman"/>
        </w:rPr>
        <w:t>分辨可调；</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最大扫描速度：</w:t>
      </w:r>
      <w:r>
        <w:rPr>
          <w:rFonts w:ascii="Times New Roman" w:eastAsia="微软雅黑" w:hAnsi="Times New Roman" w:cs="Times New Roman"/>
        </w:rPr>
        <w:t>20,000 u/sec</w:t>
      </w:r>
      <w:r>
        <w:rPr>
          <w:rFonts w:ascii="Times New Roman" w:eastAsia="微软雅黑" w:hAnsi="Times New Roman" w:cs="Times New Roman"/>
        </w:rPr>
        <w:t>；</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最大</w:t>
      </w:r>
      <w:r>
        <w:rPr>
          <w:rFonts w:ascii="Times New Roman" w:eastAsia="微软雅黑" w:hAnsi="Times New Roman" w:cs="Times New Roman"/>
        </w:rPr>
        <w:t>MRM</w:t>
      </w:r>
      <w:r>
        <w:rPr>
          <w:rFonts w:ascii="Times New Roman" w:eastAsia="微软雅黑" w:hAnsi="Times New Roman" w:cs="Times New Roman"/>
        </w:rPr>
        <w:t>速度：</w:t>
      </w:r>
      <w:r>
        <w:rPr>
          <w:rFonts w:ascii="Times New Roman" w:eastAsia="微软雅黑" w:hAnsi="Times New Roman" w:cs="Times New Roman"/>
        </w:rPr>
        <w:t>888</w:t>
      </w:r>
      <w:r>
        <w:rPr>
          <w:rFonts w:ascii="Times New Roman" w:eastAsia="微软雅黑" w:hAnsi="Times New Roman" w:cs="Times New Roman"/>
        </w:rPr>
        <w:t>道</w:t>
      </w:r>
      <w:r>
        <w:rPr>
          <w:rFonts w:ascii="Times New Roman" w:eastAsia="微软雅黑" w:hAnsi="Times New Roman" w:cs="Times New Roman"/>
        </w:rPr>
        <w:t>/sec</w:t>
      </w:r>
      <w:r>
        <w:rPr>
          <w:rFonts w:ascii="Times New Roman" w:eastAsia="微软雅黑" w:hAnsi="Times New Roman" w:cs="Times New Roman"/>
        </w:rPr>
        <w:t>；</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具有全扫描、子离子、母离子、中性丢失、选择离子和多反应扫描模式；</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具有</w:t>
      </w:r>
      <w:r>
        <w:rPr>
          <w:rFonts w:ascii="Times New Roman" w:eastAsia="微软雅黑" w:hAnsi="Times New Roman" w:cs="Times New Roman"/>
        </w:rPr>
        <w:t>NIST14</w:t>
      </w:r>
      <w:proofErr w:type="gramStart"/>
      <w:r>
        <w:rPr>
          <w:rFonts w:ascii="Times New Roman" w:eastAsia="微软雅黑" w:hAnsi="Times New Roman" w:cs="Times New Roman"/>
        </w:rPr>
        <w:t>谱库和</w:t>
      </w:r>
      <w:proofErr w:type="gramEnd"/>
      <w:r>
        <w:rPr>
          <w:rFonts w:ascii="Times New Roman" w:eastAsia="微软雅黑" w:hAnsi="Times New Roman" w:cs="Times New Roman"/>
        </w:rPr>
        <w:t>化学结构式库；</w:t>
      </w:r>
    </w:p>
    <w:p w:rsidR="002160EF" w:rsidRDefault="00815432">
      <w:pPr>
        <w:rPr>
          <w:rFonts w:ascii="Times New Roman" w:eastAsia="微软雅黑" w:hAnsi="Times New Roman" w:cs="Times New Roman"/>
        </w:rPr>
      </w:pPr>
      <w:r>
        <w:rPr>
          <w:rFonts w:ascii="Times New Roman" w:eastAsia="微软雅黑" w:hAnsi="Times New Roman" w:cs="Times New Roman" w:hint="eastAsia"/>
        </w:rPr>
        <w:t>数据分析：</w:t>
      </w:r>
      <w:proofErr w:type="spellStart"/>
      <w:r>
        <w:rPr>
          <w:rFonts w:ascii="Times New Roman" w:eastAsia="微软雅黑" w:hAnsi="Times New Roman" w:cs="Times New Roman"/>
        </w:rPr>
        <w:t>MassHunter</w:t>
      </w:r>
      <w:proofErr w:type="spellEnd"/>
      <w:r>
        <w:rPr>
          <w:rFonts w:ascii="Times New Roman" w:eastAsia="微软雅黑" w:hAnsi="Times New Roman" w:cs="Times New Roman"/>
        </w:rPr>
        <w:t>采集、分析软件。</w:t>
      </w:r>
    </w:p>
    <w:p w:rsidR="002160EF" w:rsidRDefault="00815432">
      <w:pPr>
        <w:rPr>
          <w:rFonts w:ascii="Times New Roman" w:eastAsia="微软雅黑" w:hAnsi="Times New Roman" w:cs="Times New Roman"/>
          <w:b/>
          <w:bCs/>
        </w:rPr>
      </w:pPr>
      <w:r>
        <w:rPr>
          <w:rFonts w:ascii="Times New Roman" w:eastAsia="微软雅黑" w:hAnsi="Times New Roman" w:cs="Times New Roman" w:hint="eastAsia"/>
          <w:b/>
          <w:bCs/>
        </w:rPr>
        <w:t>(</w:t>
      </w:r>
      <w:r>
        <w:rPr>
          <w:rFonts w:ascii="Times New Roman" w:eastAsia="微软雅黑" w:hAnsi="Times New Roman" w:cs="Times New Roman"/>
          <w:b/>
          <w:bCs/>
        </w:rPr>
        <w:t>3)</w:t>
      </w:r>
      <w:r>
        <w:rPr>
          <w:rFonts w:ascii="Times New Roman" w:eastAsia="微软雅黑" w:hAnsi="Times New Roman" w:cs="Times New Roman" w:hint="eastAsia"/>
          <w:b/>
          <w:bCs/>
        </w:rPr>
        <w:t xml:space="preserve"> </w:t>
      </w:r>
      <w:r>
        <w:rPr>
          <w:rFonts w:ascii="Times New Roman" w:eastAsia="微软雅黑" w:hAnsi="Times New Roman" w:cs="Times New Roman" w:hint="eastAsia"/>
          <w:b/>
          <w:bCs/>
        </w:rPr>
        <w:t>应用举例</w:t>
      </w:r>
    </w:p>
    <w:p w:rsidR="002160EF" w:rsidRDefault="00815432">
      <w:pPr>
        <w:ind w:firstLineChars="200" w:firstLine="420"/>
        <w:rPr>
          <w:rFonts w:ascii="Times New Roman" w:eastAsia="微软雅黑" w:hAnsi="Times New Roman" w:cs="Times New Roman"/>
        </w:rPr>
      </w:pPr>
      <w:r>
        <w:rPr>
          <w:rFonts w:ascii="Times New Roman" w:eastAsia="微软雅黑" w:hAnsi="Times New Roman" w:cs="Times New Roman"/>
        </w:rPr>
        <w:t>Agilent 7890B-7000D</w:t>
      </w:r>
      <w:r>
        <w:rPr>
          <w:rFonts w:ascii="Times New Roman" w:eastAsia="微软雅黑" w:hAnsi="Times New Roman" w:cs="Times New Roman"/>
        </w:rPr>
        <w:t>应用广泛</w:t>
      </w:r>
      <w:r>
        <w:rPr>
          <w:rFonts w:ascii="Times New Roman" w:eastAsia="微软雅黑" w:hAnsi="Times New Roman" w:cs="Times New Roman" w:hint="eastAsia"/>
        </w:rPr>
        <w:t>，主要用于有机化学、药物化学、植物化学、生物化学、材料化学、食品化学等领域，包括挥发油、农药残留、香精香料等成分的痕量分析。</w:t>
      </w:r>
    </w:p>
    <w:p w:rsidR="002160EF" w:rsidRDefault="00815432">
      <w:pPr>
        <w:ind w:firstLineChars="200" w:firstLine="420"/>
        <w:rPr>
          <w:rFonts w:ascii="Times New Roman" w:eastAsia="微软雅黑" w:hAnsi="Times New Roman" w:cs="Times New Roman"/>
          <w:b/>
          <w:bCs/>
        </w:rPr>
      </w:pPr>
      <w:r>
        <w:rPr>
          <w:rFonts w:ascii="Times New Roman" w:eastAsia="微软雅黑" w:hAnsi="Times New Roman" w:cs="Times New Roman" w:hint="eastAsia"/>
          <w:b/>
          <w:bCs/>
        </w:rPr>
        <w:t>挥发油组分分析</w:t>
      </w:r>
    </w:p>
    <w:p w:rsidR="002160EF" w:rsidRDefault="00815432">
      <w:pPr>
        <w:ind w:firstLineChars="200" w:firstLine="420"/>
        <w:rPr>
          <w:rFonts w:ascii="Times New Roman" w:eastAsia="微软雅黑" w:hAnsi="Times New Roman" w:cs="Times New Roman"/>
        </w:rPr>
      </w:pPr>
      <w:r>
        <w:rPr>
          <w:rFonts w:ascii="Times New Roman" w:eastAsia="微软雅黑" w:hAnsi="Times New Roman" w:cs="Times New Roman" w:hint="eastAsia"/>
        </w:rPr>
        <w:t>通过气相程序升温将挥发油中的化合物进行分离，采用</w:t>
      </w:r>
      <w:r>
        <w:rPr>
          <w:rFonts w:ascii="Times New Roman" w:eastAsia="微软雅黑" w:hAnsi="Times New Roman" w:cs="Times New Roman" w:hint="eastAsia"/>
        </w:rPr>
        <w:t>GC</w:t>
      </w:r>
      <w:r>
        <w:rPr>
          <w:rFonts w:ascii="Times New Roman" w:eastAsia="微软雅黑" w:hAnsi="Times New Roman" w:cs="Times New Roman"/>
        </w:rPr>
        <w:t>-</w:t>
      </w:r>
      <w:r>
        <w:rPr>
          <w:rFonts w:ascii="Times New Roman" w:eastAsia="微软雅黑" w:hAnsi="Times New Roman" w:cs="Times New Roman" w:hint="eastAsia"/>
        </w:rPr>
        <w:t>MS</w:t>
      </w:r>
      <w:r>
        <w:rPr>
          <w:rFonts w:ascii="Times New Roman" w:eastAsia="微软雅黑" w:hAnsi="Times New Roman" w:cs="Times New Roman" w:hint="eastAsia"/>
        </w:rPr>
        <w:t>联用技术，分析挥发油中成分，结合</w:t>
      </w:r>
      <w:r>
        <w:rPr>
          <w:rFonts w:ascii="Times New Roman" w:eastAsia="微软雅黑" w:hAnsi="Times New Roman" w:cs="Times New Roman" w:hint="eastAsia"/>
        </w:rPr>
        <w:t>NIST</w:t>
      </w:r>
      <w:r>
        <w:rPr>
          <w:rFonts w:ascii="Times New Roman" w:eastAsia="微软雅黑" w:hAnsi="Times New Roman" w:cs="Times New Roman" w:hint="eastAsia"/>
        </w:rPr>
        <w:t>数据库定性，以面积归一化法计算相对百分含量，并进行分类比较。</w:t>
      </w:r>
    </w:p>
    <w:p w:rsidR="002160EF" w:rsidRDefault="00815432">
      <w:pPr>
        <w:ind w:firstLineChars="200" w:firstLine="420"/>
        <w:jc w:val="center"/>
        <w:rPr>
          <w:rFonts w:ascii="Times New Roman" w:eastAsia="微软雅黑" w:hAnsi="Times New Roman" w:cs="Times New Roman"/>
          <w:b/>
          <w:bCs/>
        </w:rPr>
      </w:pPr>
      <w:r>
        <w:rPr>
          <w:rFonts w:ascii="Times New Roman" w:eastAsia="微软雅黑" w:hAnsi="Times New Roman" w:cs="Times New Roman"/>
          <w:b/>
          <w:bCs/>
          <w:noProof/>
        </w:rPr>
        <w:lastRenderedPageBreak/>
        <w:drawing>
          <wp:inline distT="0" distB="0" distL="0" distR="0">
            <wp:extent cx="4660900" cy="203835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60900" cy="2038350"/>
                    </a:xfrm>
                    <a:prstGeom prst="rect">
                      <a:avLst/>
                    </a:prstGeom>
                    <a:noFill/>
                    <a:ln>
                      <a:noFill/>
                    </a:ln>
                  </pic:spPr>
                </pic:pic>
              </a:graphicData>
            </a:graphic>
          </wp:inline>
        </w:drawing>
      </w:r>
    </w:p>
    <w:p w:rsidR="002160EF" w:rsidRDefault="00815432">
      <w:pPr>
        <w:ind w:firstLineChars="800" w:firstLine="1680"/>
        <w:jc w:val="center"/>
        <w:rPr>
          <w:rFonts w:ascii="Times New Roman" w:eastAsia="微软雅黑" w:hAnsi="Times New Roman" w:cs="Times New Roman"/>
        </w:rPr>
      </w:pPr>
      <w:r>
        <w:rPr>
          <w:rFonts w:ascii="Times New Roman" w:eastAsia="微软雅黑" w:hAnsi="Times New Roman" w:cs="Times New Roman" w:hint="eastAsia"/>
        </w:rPr>
        <w:t>图</w:t>
      </w:r>
      <w:r>
        <w:rPr>
          <w:rFonts w:ascii="Times New Roman" w:eastAsia="微软雅黑" w:hAnsi="Times New Roman" w:cs="Times New Roman" w:hint="eastAsia"/>
        </w:rPr>
        <w:t>1</w:t>
      </w:r>
      <w:r>
        <w:rPr>
          <w:rFonts w:ascii="Times New Roman" w:eastAsia="微软雅黑" w:hAnsi="Times New Roman" w:cs="Times New Roman"/>
        </w:rPr>
        <w:t>.</w:t>
      </w:r>
      <w:r>
        <w:rPr>
          <w:rFonts w:ascii="Times New Roman" w:eastAsia="微软雅黑" w:hAnsi="Times New Roman" w:cs="Times New Roman" w:hint="eastAsia"/>
        </w:rPr>
        <w:t>GC-MS-TIC</w:t>
      </w:r>
      <w:r>
        <w:rPr>
          <w:rFonts w:ascii="Times New Roman" w:eastAsia="微软雅黑" w:hAnsi="Times New Roman" w:cs="Times New Roman" w:hint="eastAsia"/>
        </w:rPr>
        <w:t>图谱</w:t>
      </w:r>
    </w:p>
    <w:p w:rsidR="002160EF" w:rsidRDefault="002160EF">
      <w:pPr>
        <w:ind w:firstLineChars="200" w:firstLine="420"/>
        <w:rPr>
          <w:rFonts w:ascii="Times New Roman" w:eastAsia="微软雅黑" w:hAnsi="Times New Roman" w:cs="Times New Roman"/>
          <w:b/>
          <w:bCs/>
        </w:rPr>
      </w:pPr>
    </w:p>
    <w:p w:rsidR="002160EF" w:rsidRDefault="00815432">
      <w:pPr>
        <w:ind w:firstLineChars="200" w:firstLine="420"/>
        <w:jc w:val="center"/>
        <w:rPr>
          <w:rFonts w:ascii="Times New Roman" w:eastAsia="微软雅黑" w:hAnsi="Times New Roman" w:cs="Times New Roman"/>
          <w:b/>
          <w:bCs/>
        </w:rPr>
      </w:pPr>
      <w:r>
        <w:rPr>
          <w:rFonts w:ascii="Times New Roman" w:eastAsia="微软雅黑" w:hAnsi="Times New Roman" w:cs="Times New Roman"/>
          <w:b/>
          <w:bCs/>
          <w:noProof/>
        </w:rPr>
        <w:drawing>
          <wp:inline distT="0" distB="0" distL="0" distR="0">
            <wp:extent cx="4749800" cy="2440305"/>
            <wp:effectExtent l="0" t="0" r="0" b="0"/>
            <wp:docPr id="5" name="图片 5" descr="电脑软件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脑软件截图&#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54039" cy="2442841"/>
                    </a:xfrm>
                    <a:prstGeom prst="rect">
                      <a:avLst/>
                    </a:prstGeom>
                    <a:noFill/>
                    <a:ln>
                      <a:noFill/>
                    </a:ln>
                  </pic:spPr>
                </pic:pic>
              </a:graphicData>
            </a:graphic>
          </wp:inline>
        </w:drawing>
      </w:r>
    </w:p>
    <w:p w:rsidR="002160EF" w:rsidRDefault="00815432">
      <w:pPr>
        <w:ind w:firstLineChars="800" w:firstLine="1680"/>
        <w:jc w:val="center"/>
        <w:rPr>
          <w:rFonts w:ascii="Times New Roman" w:eastAsia="微软雅黑" w:hAnsi="Times New Roman" w:cs="Times New Roman"/>
        </w:rPr>
      </w:pPr>
      <w:r>
        <w:rPr>
          <w:rFonts w:ascii="Times New Roman" w:eastAsia="微软雅黑" w:hAnsi="Times New Roman" w:cs="Times New Roman" w:hint="eastAsia"/>
        </w:rPr>
        <w:t>图</w:t>
      </w:r>
      <w:r>
        <w:rPr>
          <w:rFonts w:ascii="Times New Roman" w:eastAsia="微软雅黑" w:hAnsi="Times New Roman" w:cs="Times New Roman" w:hint="eastAsia"/>
        </w:rPr>
        <w:t>2</w:t>
      </w:r>
      <w:r>
        <w:rPr>
          <w:rFonts w:ascii="Times New Roman" w:eastAsia="微软雅黑" w:hAnsi="Times New Roman" w:cs="Times New Roman"/>
        </w:rPr>
        <w:t>.</w:t>
      </w:r>
      <w:r>
        <w:rPr>
          <w:rFonts w:ascii="Times New Roman" w:eastAsia="微软雅黑" w:hAnsi="Times New Roman" w:cs="Times New Roman" w:hint="eastAsia"/>
        </w:rPr>
        <w:t>NIST</w:t>
      </w:r>
      <w:r>
        <w:rPr>
          <w:rFonts w:ascii="Times New Roman" w:eastAsia="微软雅黑" w:hAnsi="Times New Roman" w:cs="Times New Roman"/>
        </w:rPr>
        <w:t xml:space="preserve"> </w:t>
      </w:r>
      <w:r>
        <w:rPr>
          <w:rFonts w:ascii="Times New Roman" w:eastAsia="微软雅黑" w:hAnsi="Times New Roman" w:cs="Times New Roman" w:hint="eastAsia"/>
        </w:rPr>
        <w:t>MS</w:t>
      </w:r>
      <w:r>
        <w:rPr>
          <w:rFonts w:ascii="Times New Roman" w:eastAsia="微软雅黑" w:hAnsi="Times New Roman" w:cs="Times New Roman" w:hint="eastAsia"/>
        </w:rPr>
        <w:t>数据库检索</w:t>
      </w:r>
    </w:p>
    <w:p w:rsidR="002160EF" w:rsidRDefault="002160EF">
      <w:pPr>
        <w:ind w:firstLineChars="200" w:firstLine="420"/>
        <w:rPr>
          <w:rFonts w:ascii="Times New Roman" w:eastAsia="微软雅黑" w:hAnsi="Times New Roman" w:cs="Times New Roman"/>
          <w:b/>
          <w:bCs/>
        </w:rPr>
      </w:pPr>
    </w:p>
    <w:sectPr w:rsidR="00216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C4AFEC"/>
    <w:multiLevelType w:val="singleLevel"/>
    <w:tmpl w:val="88C4AFEC"/>
    <w:lvl w:ilvl="0">
      <w:start w:val="2022"/>
      <w:numFmt w:val="decimal"/>
      <w:suff w:val="nothing"/>
      <w:lvlText w:val="（%1）"/>
      <w:lvlJc w:val="left"/>
    </w:lvl>
  </w:abstractNum>
  <w:abstractNum w:abstractNumId="1" w15:restartNumberingAfterBreak="0">
    <w:nsid w:val="5BFB6C3E"/>
    <w:multiLevelType w:val="multilevel"/>
    <w:tmpl w:val="5BFB6C3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hY2M1Y2Q3ZTE0MGVmMzFjNGVmNjc1YTJkOTQ5NDcifQ=="/>
  </w:docVars>
  <w:rsids>
    <w:rsidRoot w:val="008D085E"/>
    <w:rsid w:val="000E3157"/>
    <w:rsid w:val="00195DDB"/>
    <w:rsid w:val="001A573D"/>
    <w:rsid w:val="001D78C0"/>
    <w:rsid w:val="002160EF"/>
    <w:rsid w:val="005B65B1"/>
    <w:rsid w:val="00683621"/>
    <w:rsid w:val="007C2183"/>
    <w:rsid w:val="007D2212"/>
    <w:rsid w:val="00815432"/>
    <w:rsid w:val="008D085E"/>
    <w:rsid w:val="008E5886"/>
    <w:rsid w:val="0098053F"/>
    <w:rsid w:val="009E33B9"/>
    <w:rsid w:val="00AC3C1A"/>
    <w:rsid w:val="00C87C7E"/>
    <w:rsid w:val="00E04F56"/>
    <w:rsid w:val="00E16EC9"/>
    <w:rsid w:val="00E83F13"/>
    <w:rsid w:val="00EA59A4"/>
    <w:rsid w:val="00F026D9"/>
    <w:rsid w:val="00F454F6"/>
    <w:rsid w:val="00FE3916"/>
    <w:rsid w:val="0EAC6E81"/>
    <w:rsid w:val="1F664F00"/>
    <w:rsid w:val="4C286301"/>
    <w:rsid w:val="5EF04A33"/>
    <w:rsid w:val="5F736F1B"/>
    <w:rsid w:val="5FBF2BDD"/>
    <w:rsid w:val="6AC2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2C267-F7FF-439E-BB11-A370D35A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cp:revision>
  <dcterms:created xsi:type="dcterms:W3CDTF">2021-09-06T07:00:00Z</dcterms:created>
  <dcterms:modified xsi:type="dcterms:W3CDTF">2022-09-29T01:59:00Z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2966DD040AD345D9AD1F2FCE932A6914</vt:lpwstr>
  </property>
</Properties>
</file>