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9322" w14:textId="181EFB21" w:rsidR="008D7600" w:rsidRDefault="00970A66" w:rsidP="008D7600">
      <w:pPr>
        <w:jc w:val="center"/>
        <w:rPr>
          <w:rFonts w:eastAsiaTheme="minorEastAsia"/>
          <w:bCs/>
          <w:sz w:val="32"/>
        </w:rPr>
      </w:pPr>
      <w:bookmarkStart w:id="0" w:name="_GoBack"/>
      <w:bookmarkEnd w:id="0"/>
      <w:r>
        <w:rPr>
          <w:rFonts w:eastAsiaTheme="minorEastAsia" w:hint="eastAsia"/>
          <w:b/>
          <w:bCs/>
          <w:sz w:val="32"/>
        </w:rPr>
        <w:t>分析型流式细胞仪</w:t>
      </w:r>
      <w:r w:rsidR="008D7600">
        <w:rPr>
          <w:rFonts w:eastAsiaTheme="minorEastAsia"/>
          <w:bCs/>
          <w:sz w:val="32"/>
        </w:rPr>
        <w:t>：</w:t>
      </w:r>
    </w:p>
    <w:p w14:paraId="23FF257E" w14:textId="77777777" w:rsidR="008D7600" w:rsidRDefault="008D7600" w:rsidP="008D7600">
      <w:pPr>
        <w:tabs>
          <w:tab w:val="left" w:pos="12225"/>
        </w:tabs>
        <w:jc w:val="center"/>
        <w:rPr>
          <w:rFonts w:eastAsiaTheme="minorEastAsia"/>
          <w:bCs/>
          <w:sz w:val="24"/>
        </w:rPr>
      </w:pPr>
    </w:p>
    <w:p w14:paraId="0E4E17B6" w14:textId="77777777" w:rsidR="008D7600" w:rsidRDefault="008D7600" w:rsidP="008D7600">
      <w:pPr>
        <w:rPr>
          <w:rFonts w:eastAsiaTheme="minorEastAsia"/>
          <w:b/>
          <w:bCs/>
          <w:sz w:val="24"/>
        </w:rPr>
      </w:pPr>
      <w:r>
        <w:rPr>
          <w:rFonts w:eastAsiaTheme="minorEastAsia"/>
          <w:b/>
          <w:bCs/>
          <w:sz w:val="24"/>
        </w:rPr>
        <w:t>功能及特色</w:t>
      </w:r>
    </w:p>
    <w:p w14:paraId="64F058C9" w14:textId="77777777" w:rsidR="008D7600" w:rsidRDefault="008D7600" w:rsidP="008D7600">
      <w:pPr>
        <w:ind w:firstLineChars="200" w:firstLine="480"/>
        <w:rPr>
          <w:rFonts w:eastAsiaTheme="minorEastAsia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该设备可用于细胞膜及细胞内蛋白质和核酸的定量研究，如细胞周期与凋亡分析、免疫功能研究、干细胞种类检测、细胞功能与种类分析、遗传学研究、抗肿瘤研究等。</w:t>
      </w:r>
    </w:p>
    <w:p w14:paraId="738B15A5" w14:textId="77777777" w:rsidR="008D7600" w:rsidRDefault="008D7600" w:rsidP="008D7600">
      <w:pPr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t>主要规格及技术指标</w:t>
      </w:r>
    </w:p>
    <w:p w14:paraId="39CA5A18" w14:textId="77777777" w:rsidR="008D7600" w:rsidRDefault="008D7600" w:rsidP="008D7600"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激光器：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405 nm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488 nm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640 nm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 xml:space="preserve">，均为固态激光器。 </w:t>
      </w:r>
    </w:p>
    <w:p w14:paraId="22EF2E00" w14:textId="77777777" w:rsidR="008D7600" w:rsidRDefault="008D7600" w:rsidP="008D7600"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荧光系统：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 xml:space="preserve">10 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色荧光系统（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405 nm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：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450/40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530/30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，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488 nm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：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530/30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585/42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616/23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695/40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780/60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，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633 nm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：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660/20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，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780/60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）。</w:t>
      </w:r>
    </w:p>
    <w:p w14:paraId="4CC48353" w14:textId="77777777" w:rsidR="008D7600" w:rsidRDefault="008D7600" w:rsidP="008D7600"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荧光灵敏度：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FITC&lt; 3MESF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PE&lt; 3MESF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。</w:t>
      </w:r>
    </w:p>
    <w:p w14:paraId="29EEF260" w14:textId="77777777" w:rsidR="008D7600" w:rsidRDefault="008D7600" w:rsidP="008D7600"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交叉污染率：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&lt; 0.08%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 xml:space="preserve">。 </w:t>
      </w:r>
    </w:p>
    <w:p w14:paraId="4ED523F1" w14:textId="77777777" w:rsidR="008D7600" w:rsidRDefault="008D7600" w:rsidP="008D7600"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最大分析速度：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 xml:space="preserve">≥ 33000 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细胞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/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 xml:space="preserve">秒。 </w:t>
      </w:r>
    </w:p>
    <w:p w14:paraId="61D0B0F0" w14:textId="77777777" w:rsidR="008D7600" w:rsidRDefault="008D7600" w:rsidP="008D7600"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最小样本量：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≤ 50 µL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。</w:t>
      </w:r>
    </w:p>
    <w:p w14:paraId="1E20BF9B" w14:textId="77777777" w:rsidR="008D7600" w:rsidRDefault="008D7600" w:rsidP="008D7600"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 xml:space="preserve">数据格式：流式细胞仪标准 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 xml:space="preserve">FCS 3.0 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 xml:space="preserve">或 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bidi="ar"/>
        </w:rPr>
        <w:t>2.0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 xml:space="preserve">。 </w:t>
      </w:r>
    </w:p>
    <w:p w14:paraId="69635DAB" w14:textId="77777777" w:rsidR="008D7600" w:rsidRDefault="008D7600" w:rsidP="008D7600">
      <w:pPr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t>应用举例</w:t>
      </w:r>
      <w:r>
        <w:rPr>
          <w:rFonts w:eastAsiaTheme="minorEastAsia"/>
          <w:b/>
          <w:bCs/>
          <w:sz w:val="24"/>
        </w:rPr>
        <w:t>：</w:t>
      </w:r>
    </w:p>
    <w:p w14:paraId="240D6A73" w14:textId="77777777" w:rsidR="008D7600" w:rsidRDefault="008D7600" w:rsidP="008D7600">
      <w:pPr>
        <w:numPr>
          <w:ilvl w:val="0"/>
          <w:numId w:val="1"/>
        </w:numPr>
        <w:adjustRightInd/>
        <w:snapToGrid/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t>周期分析</w:t>
      </w:r>
    </w:p>
    <w:p w14:paraId="31B984E3" w14:textId="77777777" w:rsidR="008D7600" w:rsidRDefault="008D7600" w:rsidP="008D7600">
      <w:pPr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noProof/>
          <w:sz w:val="24"/>
        </w:rPr>
        <w:drawing>
          <wp:inline distT="0" distB="0" distL="114300" distR="114300" wp14:anchorId="7A39848E" wp14:editId="0B9F2949">
            <wp:extent cx="2583180" cy="1314450"/>
            <wp:effectExtent l="9525" t="9525" r="10795" b="9525"/>
            <wp:docPr id="3" name="图片 3" descr="063ba79ed7ad56d25bbd10b6f4411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3ba79ed7ad56d25bbd10b6f4411e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3144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2BBA67" w14:textId="77777777" w:rsidR="008D7600" w:rsidRDefault="008D7600" w:rsidP="008D7600">
      <w:pPr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sz w:val="21"/>
          <w:szCs w:val="21"/>
        </w:rPr>
        <w:t xml:space="preserve">Fig1. </w:t>
      </w:r>
      <w:r>
        <w:rPr>
          <w:rFonts w:eastAsiaTheme="minorEastAsia" w:hint="eastAsia"/>
          <w:sz w:val="21"/>
          <w:szCs w:val="21"/>
        </w:rPr>
        <w:t>抑制</w:t>
      </w:r>
      <w:r>
        <w:rPr>
          <w:rFonts w:eastAsiaTheme="minorEastAsia" w:hint="eastAsia"/>
          <w:sz w:val="21"/>
          <w:szCs w:val="21"/>
        </w:rPr>
        <w:t>MYBL2</w:t>
      </w:r>
      <w:r>
        <w:rPr>
          <w:rFonts w:eastAsiaTheme="minorEastAsia" w:hint="eastAsia"/>
          <w:sz w:val="21"/>
          <w:szCs w:val="21"/>
        </w:rPr>
        <w:t>和</w:t>
      </w:r>
      <w:r>
        <w:rPr>
          <w:rFonts w:eastAsiaTheme="minorEastAsia" w:hint="eastAsia"/>
          <w:sz w:val="21"/>
          <w:szCs w:val="21"/>
        </w:rPr>
        <w:t>FoxM1</w:t>
      </w:r>
      <w:r>
        <w:rPr>
          <w:rFonts w:eastAsiaTheme="minorEastAsia" w:hint="eastAsia"/>
          <w:sz w:val="21"/>
          <w:szCs w:val="21"/>
        </w:rPr>
        <w:t>表达可抑制胶质瘤细胞的</w:t>
      </w:r>
      <w:r>
        <w:rPr>
          <w:rFonts w:eastAsiaTheme="minorEastAsia" w:hint="eastAsia"/>
          <w:sz w:val="21"/>
          <w:szCs w:val="21"/>
        </w:rPr>
        <w:t>G2/M</w:t>
      </w:r>
      <w:r>
        <w:rPr>
          <w:rFonts w:eastAsiaTheme="minorEastAsia" w:hint="eastAsia"/>
          <w:sz w:val="21"/>
          <w:szCs w:val="21"/>
        </w:rPr>
        <w:t>期转变。用指定的</w:t>
      </w:r>
      <w:r>
        <w:rPr>
          <w:rFonts w:eastAsiaTheme="minorEastAsia" w:hint="eastAsia"/>
          <w:sz w:val="21"/>
          <w:szCs w:val="21"/>
        </w:rPr>
        <w:t>siRNA</w:t>
      </w:r>
      <w:r>
        <w:rPr>
          <w:rFonts w:eastAsiaTheme="minorEastAsia" w:hint="eastAsia"/>
          <w:sz w:val="21"/>
          <w:szCs w:val="21"/>
        </w:rPr>
        <w:t>转染</w:t>
      </w:r>
      <w:r>
        <w:rPr>
          <w:rFonts w:eastAsiaTheme="minorEastAsia" w:hint="eastAsia"/>
          <w:sz w:val="21"/>
          <w:szCs w:val="21"/>
        </w:rPr>
        <w:t>U251</w:t>
      </w:r>
      <w:r>
        <w:rPr>
          <w:rFonts w:eastAsiaTheme="minorEastAsia" w:hint="eastAsia"/>
          <w:sz w:val="21"/>
          <w:szCs w:val="21"/>
        </w:rPr>
        <w:t>细胞，</w:t>
      </w:r>
      <w:r>
        <w:rPr>
          <w:rFonts w:eastAsiaTheme="minorEastAsia" w:hint="eastAsia"/>
          <w:sz w:val="21"/>
          <w:szCs w:val="21"/>
        </w:rPr>
        <w:t>48</w:t>
      </w:r>
      <w:r>
        <w:rPr>
          <w:rFonts w:eastAsiaTheme="minorEastAsia" w:hint="eastAsia"/>
          <w:sz w:val="21"/>
          <w:szCs w:val="21"/>
        </w:rPr>
        <w:t>小时后收集细胞。通过流式细胞术分析细胞周期概况</w:t>
      </w:r>
      <w:r>
        <w:rPr>
          <w:rFonts w:eastAsiaTheme="minorEastAsia" w:hint="eastAsia"/>
          <w:sz w:val="24"/>
        </w:rPr>
        <w:t>。</w:t>
      </w:r>
      <w:r>
        <w:rPr>
          <w:rFonts w:eastAsiaTheme="minorEastAsia" w:hint="eastAsia"/>
          <w:sz w:val="24"/>
          <w:vertAlign w:val="superscript"/>
        </w:rPr>
        <w:t>[1]</w:t>
      </w:r>
    </w:p>
    <w:p w14:paraId="699AD543" w14:textId="77777777" w:rsidR="008D7600" w:rsidRDefault="008D7600" w:rsidP="008D7600">
      <w:pPr>
        <w:rPr>
          <w:rFonts w:eastAsiaTheme="minorEastAsia"/>
          <w:b/>
          <w:bCs/>
          <w:sz w:val="24"/>
        </w:rPr>
      </w:pPr>
    </w:p>
    <w:p w14:paraId="73F44EFE" w14:textId="77777777" w:rsidR="008D7600" w:rsidRDefault="008D7600" w:rsidP="008D7600">
      <w:pPr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br w:type="page"/>
      </w:r>
    </w:p>
    <w:p w14:paraId="7E875670" w14:textId="77777777" w:rsidR="008D7600" w:rsidRDefault="008D7600" w:rsidP="008D7600">
      <w:pPr>
        <w:numPr>
          <w:ilvl w:val="0"/>
          <w:numId w:val="1"/>
        </w:numPr>
        <w:adjustRightInd/>
        <w:snapToGrid/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lastRenderedPageBreak/>
        <w:t>凋亡分析</w:t>
      </w:r>
    </w:p>
    <w:p w14:paraId="290C03BF" w14:textId="77777777" w:rsidR="008D7600" w:rsidRDefault="008D7600" w:rsidP="008D7600">
      <w:pPr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noProof/>
          <w:sz w:val="24"/>
        </w:rPr>
        <w:drawing>
          <wp:inline distT="0" distB="0" distL="114300" distR="114300" wp14:anchorId="73FF85FF" wp14:editId="2CC4757C">
            <wp:extent cx="2038350" cy="1258570"/>
            <wp:effectExtent l="9525" t="9525" r="9525" b="14605"/>
            <wp:docPr id="4" name="图片 4" descr="cf191b16ff2f57a1c4420c9f5d5d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f191b16ff2f57a1c4420c9f5d5d4a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585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F87002" w14:textId="77777777" w:rsidR="008D7600" w:rsidRDefault="008D7600" w:rsidP="008D7600">
      <w:pPr>
        <w:rPr>
          <w:rFonts w:eastAsiaTheme="minorEastAsia"/>
          <w:szCs w:val="21"/>
        </w:rPr>
      </w:pPr>
      <w:r>
        <w:rPr>
          <w:rFonts w:eastAsiaTheme="minorEastAsia" w:hint="eastAsia"/>
          <w:sz w:val="21"/>
          <w:szCs w:val="21"/>
        </w:rPr>
        <w:t xml:space="preserve">Fig2. </w:t>
      </w:r>
      <w:r>
        <w:rPr>
          <w:rFonts w:eastAsiaTheme="minorEastAsia" w:hint="eastAsia"/>
          <w:sz w:val="21"/>
          <w:szCs w:val="21"/>
        </w:rPr>
        <w:t>抑制</w:t>
      </w:r>
      <w:r>
        <w:rPr>
          <w:rFonts w:eastAsiaTheme="minorEastAsia" w:hint="eastAsia"/>
          <w:sz w:val="21"/>
          <w:szCs w:val="21"/>
        </w:rPr>
        <w:t>MYBL2</w:t>
      </w:r>
      <w:r>
        <w:rPr>
          <w:rFonts w:eastAsiaTheme="minorEastAsia" w:hint="eastAsia"/>
          <w:sz w:val="21"/>
          <w:szCs w:val="21"/>
        </w:rPr>
        <w:t>和</w:t>
      </w:r>
      <w:r>
        <w:rPr>
          <w:rFonts w:eastAsiaTheme="minorEastAsia" w:hint="eastAsia"/>
          <w:sz w:val="21"/>
          <w:szCs w:val="21"/>
        </w:rPr>
        <w:t>FoxM1</w:t>
      </w:r>
      <w:r>
        <w:rPr>
          <w:rFonts w:eastAsiaTheme="minorEastAsia" w:hint="eastAsia"/>
          <w:sz w:val="21"/>
          <w:szCs w:val="21"/>
        </w:rPr>
        <w:t>表达可诱导胶质瘤细胞凋亡。</w:t>
      </w:r>
      <w:r>
        <w:rPr>
          <w:rFonts w:eastAsiaTheme="minorEastAsia" w:hint="eastAsia"/>
          <w:sz w:val="21"/>
          <w:szCs w:val="21"/>
        </w:rPr>
        <w:t>a</w:t>
      </w:r>
      <w:r>
        <w:rPr>
          <w:rFonts w:eastAsiaTheme="minorEastAsia" w:hint="eastAsia"/>
          <w:sz w:val="21"/>
          <w:szCs w:val="21"/>
        </w:rPr>
        <w:t>使用流式细胞仪分析</w:t>
      </w:r>
      <w:r>
        <w:rPr>
          <w:rFonts w:eastAsiaTheme="minorEastAsia" w:hint="eastAsia"/>
          <w:sz w:val="21"/>
          <w:szCs w:val="21"/>
        </w:rPr>
        <w:t>MYBL2</w:t>
      </w:r>
      <w:r>
        <w:rPr>
          <w:rFonts w:eastAsiaTheme="minorEastAsia" w:hint="eastAsia"/>
          <w:sz w:val="21"/>
          <w:szCs w:val="21"/>
        </w:rPr>
        <w:t>和</w:t>
      </w:r>
      <w:r>
        <w:rPr>
          <w:rFonts w:eastAsiaTheme="minorEastAsia" w:hint="eastAsia"/>
          <w:sz w:val="21"/>
          <w:szCs w:val="21"/>
        </w:rPr>
        <w:t>FoxM1</w:t>
      </w:r>
      <w:r>
        <w:rPr>
          <w:rFonts w:eastAsiaTheme="minorEastAsia" w:hint="eastAsia"/>
          <w:sz w:val="21"/>
          <w:szCs w:val="21"/>
        </w:rPr>
        <w:t>沉默对</w:t>
      </w:r>
      <w:r>
        <w:rPr>
          <w:rFonts w:eastAsiaTheme="minorEastAsia" w:hint="eastAsia"/>
          <w:sz w:val="21"/>
          <w:szCs w:val="21"/>
        </w:rPr>
        <w:t>U251</w:t>
      </w:r>
      <w:r>
        <w:rPr>
          <w:rFonts w:eastAsiaTheme="minorEastAsia" w:hint="eastAsia"/>
          <w:sz w:val="21"/>
          <w:szCs w:val="21"/>
        </w:rPr>
        <w:t>凋亡表达的影响。</w:t>
      </w:r>
      <w:r>
        <w:rPr>
          <w:rFonts w:eastAsiaTheme="minorEastAsia" w:hint="eastAsia"/>
          <w:sz w:val="24"/>
          <w:vertAlign w:val="superscript"/>
        </w:rPr>
        <w:t>[1]</w:t>
      </w:r>
    </w:p>
    <w:p w14:paraId="71EDCA59" w14:textId="77777777" w:rsidR="008D7600" w:rsidRDefault="008D7600" w:rsidP="008D7600">
      <w:pPr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t>3</w:t>
      </w:r>
      <w:r>
        <w:rPr>
          <w:rFonts w:eastAsiaTheme="minorEastAsia" w:hint="eastAsia"/>
          <w:b/>
          <w:bCs/>
          <w:sz w:val="24"/>
        </w:rPr>
        <w:t>、免疫功能研究</w:t>
      </w:r>
    </w:p>
    <w:p w14:paraId="4A78BF6D" w14:textId="77777777" w:rsidR="008D7600" w:rsidRDefault="008D7600" w:rsidP="008D7600">
      <w:pPr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noProof/>
          <w:sz w:val="24"/>
        </w:rPr>
        <w:drawing>
          <wp:inline distT="0" distB="0" distL="114300" distR="114300" wp14:anchorId="07DBD49E" wp14:editId="17785837">
            <wp:extent cx="3517265" cy="3276600"/>
            <wp:effectExtent l="9525" t="9525" r="16510" b="15875"/>
            <wp:docPr id="5" name="图片 5" descr="71e56ece02c758651cb541af7648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e56ece02c758651cb541af7648c8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3276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B628340" w14:textId="465E13D9" w:rsidR="008D7600" w:rsidRDefault="008D7600" w:rsidP="008D7600">
      <w:pPr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sz w:val="21"/>
          <w:szCs w:val="21"/>
        </w:rPr>
        <w:t xml:space="preserve">Fig3. TNFR2 </w:t>
      </w:r>
      <w:r>
        <w:rPr>
          <w:rFonts w:eastAsiaTheme="minorEastAsia" w:hint="eastAsia"/>
          <w:sz w:val="21"/>
          <w:szCs w:val="21"/>
        </w:rPr>
        <w:t>免疫小鼠的抗原特异性小鼠记忆</w:t>
      </w:r>
      <w:r>
        <w:rPr>
          <w:rFonts w:eastAsiaTheme="minorEastAsia" w:hint="eastAsia"/>
          <w:sz w:val="21"/>
          <w:szCs w:val="21"/>
        </w:rPr>
        <w:t>B</w:t>
      </w:r>
      <w:r>
        <w:rPr>
          <w:rFonts w:eastAsiaTheme="minorEastAsia" w:hint="eastAsia"/>
          <w:sz w:val="21"/>
          <w:szCs w:val="21"/>
        </w:rPr>
        <w:t>细胞的鉴定。</w:t>
      </w:r>
      <w:r>
        <w:rPr>
          <w:rFonts w:eastAsiaTheme="minorEastAsia" w:hint="eastAsia"/>
          <w:sz w:val="21"/>
          <w:szCs w:val="21"/>
          <w:vertAlign w:val="superscript"/>
        </w:rPr>
        <w:t>[2]</w:t>
      </w:r>
    </w:p>
    <w:p w14:paraId="3D521AD2" w14:textId="77777777" w:rsidR="008D7600" w:rsidRDefault="008D7600" w:rsidP="008D7600">
      <w:pPr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t>4</w:t>
      </w:r>
      <w:r>
        <w:rPr>
          <w:rFonts w:eastAsiaTheme="minorEastAsia" w:hint="eastAsia"/>
          <w:b/>
          <w:bCs/>
          <w:sz w:val="24"/>
        </w:rPr>
        <w:t>、干细胞实验研究</w:t>
      </w:r>
    </w:p>
    <w:p w14:paraId="11DBCBC6" w14:textId="77777777" w:rsidR="008D7600" w:rsidRDefault="008D7600" w:rsidP="008D7600">
      <w:pPr>
        <w:rPr>
          <w:rFonts w:eastAsiaTheme="minorEastAsia"/>
          <w:b/>
          <w:bCs/>
          <w:sz w:val="24"/>
        </w:rPr>
      </w:pPr>
      <w:r>
        <w:rPr>
          <w:rFonts w:eastAsiaTheme="minorEastAsia"/>
          <w:b/>
          <w:bCs/>
          <w:noProof/>
          <w:sz w:val="24"/>
        </w:rPr>
        <w:drawing>
          <wp:inline distT="0" distB="0" distL="114300" distR="114300" wp14:anchorId="7EDCECE6" wp14:editId="7C793939">
            <wp:extent cx="4880610" cy="2152650"/>
            <wp:effectExtent l="9525" t="9525" r="12065" b="9525"/>
            <wp:docPr id="2" name="图片 2" descr="04d6a4d2ef35d153ec1bbbe38277a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d6a4d2ef35d153ec1bbbe38277ab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0610" cy="21526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8252A78" w14:textId="77777777" w:rsidR="008D7600" w:rsidRDefault="008D7600" w:rsidP="008D7600">
      <w:pPr>
        <w:rPr>
          <w:rFonts w:eastAsiaTheme="minorEastAsia"/>
          <w:szCs w:val="21"/>
          <w:vertAlign w:val="superscript"/>
        </w:rPr>
      </w:pPr>
      <w:r>
        <w:rPr>
          <w:rFonts w:eastAsiaTheme="minorEastAsia" w:hint="eastAsia"/>
          <w:sz w:val="21"/>
          <w:szCs w:val="21"/>
        </w:rPr>
        <w:t xml:space="preserve">Fig4. </w:t>
      </w:r>
      <w:r>
        <w:rPr>
          <w:rFonts w:eastAsiaTheme="minorEastAsia" w:hint="eastAsia"/>
          <w:sz w:val="21"/>
          <w:szCs w:val="21"/>
        </w:rPr>
        <w:t>干细胞计数。</w:t>
      </w:r>
      <w:r>
        <w:rPr>
          <w:rFonts w:eastAsiaTheme="minorEastAsia" w:hint="eastAsia"/>
          <w:sz w:val="21"/>
          <w:szCs w:val="21"/>
          <w:vertAlign w:val="superscript"/>
        </w:rPr>
        <w:t>[3]</w:t>
      </w:r>
    </w:p>
    <w:p w14:paraId="04DB18A3" w14:textId="77777777" w:rsidR="008D7600" w:rsidRDefault="008D7600" w:rsidP="008D7600">
      <w:pPr>
        <w:rPr>
          <w:rFonts w:eastAsiaTheme="minorEastAsia"/>
          <w:sz w:val="24"/>
        </w:rPr>
      </w:pPr>
      <w:r>
        <w:rPr>
          <w:rFonts w:eastAsiaTheme="minorEastAsia" w:hint="eastAsia"/>
          <w:sz w:val="24"/>
          <w:szCs w:val="24"/>
        </w:rPr>
        <w:lastRenderedPageBreak/>
        <w:t>参考文献：</w:t>
      </w:r>
    </w:p>
    <w:p w14:paraId="644CCCED" w14:textId="77777777" w:rsidR="008D7600" w:rsidRDefault="008D7600" w:rsidP="008D7600">
      <w:pPr>
        <w:widowControl w:val="0"/>
        <w:numPr>
          <w:ilvl w:val="0"/>
          <w:numId w:val="2"/>
        </w:numPr>
        <w:adjustRightInd/>
        <w:snapToGrid/>
        <w:jc w:val="both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Zhang X, </w:t>
      </w:r>
      <w:proofErr w:type="spellStart"/>
      <w:r>
        <w:rPr>
          <w:rFonts w:eastAsiaTheme="minorEastAsia" w:hint="eastAsia"/>
          <w:sz w:val="24"/>
        </w:rPr>
        <w:t>Qiao</w:t>
      </w:r>
      <w:proofErr w:type="spellEnd"/>
      <w:r>
        <w:rPr>
          <w:rFonts w:eastAsiaTheme="minorEastAsia" w:hint="eastAsia"/>
          <w:sz w:val="24"/>
        </w:rPr>
        <w:t xml:space="preserve">-Li L V, Huang Y T, </w:t>
      </w:r>
      <w:proofErr w:type="spellStart"/>
      <w:r>
        <w:rPr>
          <w:rFonts w:eastAsiaTheme="minorEastAsia" w:hint="eastAsia"/>
          <w:sz w:val="24"/>
        </w:rPr>
        <w:t>etal</w:t>
      </w:r>
      <w:proofErr w:type="spellEnd"/>
      <w:r>
        <w:rPr>
          <w:rFonts w:eastAsiaTheme="minorEastAsia" w:hint="eastAsia"/>
          <w:sz w:val="24"/>
        </w:rPr>
        <w:t xml:space="preserve">. </w:t>
      </w:r>
      <w:proofErr w:type="spellStart"/>
      <w:r>
        <w:rPr>
          <w:rFonts w:eastAsiaTheme="minorEastAsia" w:hint="eastAsia"/>
          <w:sz w:val="24"/>
        </w:rPr>
        <w:t>Akt</w:t>
      </w:r>
      <w:proofErr w:type="spellEnd"/>
      <w:r>
        <w:rPr>
          <w:rFonts w:eastAsiaTheme="minorEastAsia" w:hint="eastAsia"/>
          <w:sz w:val="24"/>
        </w:rPr>
        <w:t>/FoxM1 signaling pathway-mediated upregulation of MYBL2 promotes progression of human glioma[J]. Journal of Experimental &amp; Clinical Cancer Research, 2017, 36(1):105.</w:t>
      </w:r>
    </w:p>
    <w:p w14:paraId="715E8446" w14:textId="77777777" w:rsidR="008D7600" w:rsidRDefault="00307408" w:rsidP="008D7600">
      <w:pPr>
        <w:widowControl w:val="0"/>
        <w:numPr>
          <w:ilvl w:val="0"/>
          <w:numId w:val="2"/>
        </w:numPr>
        <w:adjustRightInd/>
        <w:snapToGrid/>
        <w:jc w:val="both"/>
        <w:rPr>
          <w:rFonts w:eastAsiaTheme="minorEastAsia"/>
          <w:sz w:val="24"/>
        </w:rPr>
      </w:pPr>
      <w:hyperlink r:id="rId13" w:history="1">
        <w:r w:rsidR="008D7600">
          <w:rPr>
            <w:rFonts w:eastAsiaTheme="minorEastAsia"/>
            <w:sz w:val="24"/>
          </w:rPr>
          <w:t>Dale O Starkie</w:t>
        </w:r>
      </w:hyperlink>
      <w:r w:rsidR="008D7600">
        <w:rPr>
          <w:rFonts w:eastAsiaTheme="minorEastAsia"/>
          <w:sz w:val="24"/>
        </w:rPr>
        <w:t>,</w:t>
      </w:r>
      <w:r w:rsidR="008D7600">
        <w:rPr>
          <w:rFonts w:eastAsiaTheme="minorEastAsia" w:hint="eastAsia"/>
          <w:sz w:val="24"/>
        </w:rPr>
        <w:t xml:space="preserve"> </w:t>
      </w:r>
      <w:hyperlink r:id="rId14" w:history="1">
        <w:r w:rsidR="008D7600">
          <w:rPr>
            <w:rFonts w:eastAsiaTheme="minorEastAsia"/>
            <w:sz w:val="24"/>
          </w:rPr>
          <w:t>Joanne E Compson</w:t>
        </w:r>
      </w:hyperlink>
      <w:r w:rsidR="008D7600">
        <w:rPr>
          <w:rFonts w:eastAsiaTheme="minorEastAsia" w:hint="eastAsia"/>
          <w:sz w:val="24"/>
        </w:rPr>
        <w:t xml:space="preserve">, </w:t>
      </w:r>
      <w:hyperlink r:id="rId15" w:history="1">
        <w:r w:rsidR="008D7600">
          <w:rPr>
            <w:rFonts w:eastAsiaTheme="minorEastAsia"/>
            <w:sz w:val="24"/>
          </w:rPr>
          <w:t>Stephen Rapecki</w:t>
        </w:r>
      </w:hyperlink>
      <w:r w:rsidR="008D7600">
        <w:rPr>
          <w:rFonts w:eastAsiaTheme="minorEastAsia" w:hint="eastAsia"/>
          <w:sz w:val="24"/>
        </w:rPr>
        <w:t xml:space="preserve">, </w:t>
      </w:r>
      <w:proofErr w:type="spellStart"/>
      <w:r w:rsidR="008D7600">
        <w:rPr>
          <w:rFonts w:eastAsiaTheme="minorEastAsia" w:hint="eastAsia"/>
          <w:sz w:val="24"/>
        </w:rPr>
        <w:t>etal</w:t>
      </w:r>
      <w:proofErr w:type="spellEnd"/>
      <w:r w:rsidR="008D7600">
        <w:rPr>
          <w:rFonts w:eastAsiaTheme="minorEastAsia" w:hint="eastAsia"/>
          <w:sz w:val="24"/>
        </w:rPr>
        <w:t xml:space="preserve">. </w:t>
      </w:r>
      <w:r w:rsidR="008D7600">
        <w:rPr>
          <w:rFonts w:eastAsiaTheme="minorEastAsia"/>
          <w:sz w:val="24"/>
        </w:rPr>
        <w:t xml:space="preserve">Generation of Recombinant Monoclonal Antibodies from </w:t>
      </w:r>
      <w:proofErr w:type="spellStart"/>
      <w:r w:rsidR="008D7600">
        <w:rPr>
          <w:rFonts w:eastAsiaTheme="minorEastAsia"/>
          <w:sz w:val="24"/>
        </w:rPr>
        <w:t>Immunised</w:t>
      </w:r>
      <w:proofErr w:type="spellEnd"/>
      <w:r w:rsidR="008D7600">
        <w:rPr>
          <w:rFonts w:eastAsiaTheme="minorEastAsia"/>
          <w:sz w:val="24"/>
        </w:rPr>
        <w:t xml:space="preserve"> Mice and Rabbits via Flow Cytometry and Sorting of Antigen-Specific IgG+ Memory B Cells</w:t>
      </w:r>
      <w:r w:rsidR="008D7600">
        <w:rPr>
          <w:rFonts w:eastAsiaTheme="minorEastAsia" w:hint="eastAsia"/>
          <w:sz w:val="24"/>
        </w:rPr>
        <w:t xml:space="preserve">[J]. </w:t>
      </w:r>
      <w:proofErr w:type="spellStart"/>
      <w:r w:rsidR="008D7600">
        <w:rPr>
          <w:rFonts w:eastAsiaTheme="minorEastAsia"/>
          <w:sz w:val="24"/>
        </w:rPr>
        <w:t>PLoS</w:t>
      </w:r>
      <w:proofErr w:type="spellEnd"/>
      <w:r w:rsidR="008D7600">
        <w:rPr>
          <w:rFonts w:eastAsiaTheme="minorEastAsia"/>
          <w:sz w:val="24"/>
        </w:rPr>
        <w:t xml:space="preserve"> One</w:t>
      </w:r>
      <w:r w:rsidR="008D7600">
        <w:rPr>
          <w:rFonts w:eastAsiaTheme="minorEastAsia" w:hint="eastAsia"/>
          <w:sz w:val="24"/>
        </w:rPr>
        <w:t>,</w:t>
      </w:r>
      <w:r w:rsidR="008D7600">
        <w:rPr>
          <w:rFonts w:eastAsiaTheme="minorEastAsia"/>
          <w:sz w:val="24"/>
        </w:rPr>
        <w:t xml:space="preserve"> 2016</w:t>
      </w:r>
      <w:r w:rsidR="008D7600">
        <w:rPr>
          <w:rFonts w:eastAsiaTheme="minorEastAsia" w:hint="eastAsia"/>
          <w:sz w:val="24"/>
        </w:rPr>
        <w:t xml:space="preserve">, </w:t>
      </w:r>
      <w:r w:rsidR="008D7600">
        <w:rPr>
          <w:rFonts w:eastAsiaTheme="minorEastAsia"/>
          <w:sz w:val="24"/>
        </w:rPr>
        <w:t>11(3</w:t>
      </w:r>
      <w:proofErr w:type="gramStart"/>
      <w:r w:rsidR="008D7600">
        <w:rPr>
          <w:rFonts w:eastAsiaTheme="minorEastAsia"/>
          <w:sz w:val="24"/>
        </w:rPr>
        <w:t>):e</w:t>
      </w:r>
      <w:proofErr w:type="gramEnd"/>
      <w:r w:rsidR="008D7600">
        <w:rPr>
          <w:rFonts w:eastAsiaTheme="minorEastAsia"/>
          <w:sz w:val="24"/>
        </w:rPr>
        <w:t>0152282.</w:t>
      </w:r>
    </w:p>
    <w:p w14:paraId="52056C03" w14:textId="77777777" w:rsidR="008D7600" w:rsidRDefault="008D7600" w:rsidP="008D7600">
      <w:pPr>
        <w:widowControl w:val="0"/>
        <w:numPr>
          <w:ilvl w:val="0"/>
          <w:numId w:val="2"/>
        </w:numPr>
        <w:adjustRightInd/>
        <w:snapToGrid/>
        <w:jc w:val="both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碧迪医疗器械</w:t>
      </w:r>
      <w:proofErr w:type="gramStart"/>
      <w:r>
        <w:rPr>
          <w:rFonts w:eastAsiaTheme="minorEastAsia" w:hint="eastAsia"/>
          <w:sz w:val="24"/>
        </w:rPr>
        <w:t>公司官网</w:t>
      </w:r>
      <w:proofErr w:type="gramEnd"/>
      <w:r>
        <w:rPr>
          <w:rFonts w:eastAsiaTheme="minorEastAsia" w:hint="eastAsia"/>
          <w:sz w:val="24"/>
        </w:rPr>
        <w:t>(</w:t>
      </w:r>
      <w:r>
        <w:rPr>
          <w:rFonts w:eastAsiaTheme="minorEastAsia"/>
          <w:sz w:val="24"/>
        </w:rPr>
        <w:t>bdbiosciences.com</w:t>
      </w:r>
      <w:r>
        <w:rPr>
          <w:rFonts w:eastAsiaTheme="minorEastAsia" w:hint="eastAsia"/>
          <w:sz w:val="24"/>
        </w:rPr>
        <w:t>)</w:t>
      </w:r>
      <w:r>
        <w:rPr>
          <w:rFonts w:eastAsiaTheme="minorEastAsia" w:hint="eastAsia"/>
          <w:sz w:val="24"/>
        </w:rPr>
        <w:t>。</w:t>
      </w:r>
    </w:p>
    <w:p w14:paraId="350D8F39" w14:textId="77777777" w:rsidR="008D7600" w:rsidRDefault="008D7600" w:rsidP="008D7600">
      <w:pPr>
        <w:rPr>
          <w:rFonts w:eastAsiaTheme="minorEastAsia"/>
          <w:sz w:val="24"/>
        </w:rPr>
      </w:pPr>
    </w:p>
    <w:p w14:paraId="643C5944" w14:textId="77777777" w:rsidR="008D7600" w:rsidRDefault="008D7600" w:rsidP="008D7600">
      <w:pPr>
        <w:rPr>
          <w:rFonts w:eastAsiaTheme="minorEastAsia"/>
          <w:sz w:val="24"/>
        </w:rPr>
      </w:pPr>
    </w:p>
    <w:p w14:paraId="011F3882" w14:textId="64BBDA4F" w:rsidR="00D3513D" w:rsidRDefault="00D3513D">
      <w:pPr>
        <w:adjustRightInd/>
        <w:snapToGrid/>
        <w:spacing w:line="240" w:lineRule="auto"/>
        <w:rPr>
          <w:sz w:val="24"/>
        </w:rPr>
      </w:pPr>
    </w:p>
    <w:p w14:paraId="18884804" w14:textId="77777777" w:rsidR="00DB6554" w:rsidRDefault="00DB6554" w:rsidP="00D3513D">
      <w:pPr>
        <w:rPr>
          <w:sz w:val="24"/>
        </w:rPr>
      </w:pPr>
    </w:p>
    <w:sectPr w:rsidR="00DB6554">
      <w:pgSz w:w="11906" w:h="16838"/>
      <w:pgMar w:top="1191" w:right="1588" w:bottom="1077" w:left="1588" w:header="709" w:footer="709" w:gutter="0"/>
      <w:cols w:space="708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BC111" w14:textId="77777777" w:rsidR="00307408" w:rsidRDefault="00307408">
      <w:pPr>
        <w:spacing w:line="240" w:lineRule="auto"/>
      </w:pPr>
      <w:r>
        <w:separator/>
      </w:r>
    </w:p>
  </w:endnote>
  <w:endnote w:type="continuationSeparator" w:id="0">
    <w:p w14:paraId="74BC9229" w14:textId="77777777" w:rsidR="00307408" w:rsidRDefault="00307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5872B" w14:textId="77777777" w:rsidR="00307408" w:rsidRDefault="00307408">
      <w:pPr>
        <w:spacing w:line="240" w:lineRule="auto"/>
      </w:pPr>
      <w:r>
        <w:separator/>
      </w:r>
    </w:p>
  </w:footnote>
  <w:footnote w:type="continuationSeparator" w:id="0">
    <w:p w14:paraId="45DCF87A" w14:textId="77777777" w:rsidR="00307408" w:rsidRDefault="00307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8E0CC3"/>
    <w:multiLevelType w:val="singleLevel"/>
    <w:tmpl w:val="938E0CC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A4602A8"/>
    <w:multiLevelType w:val="singleLevel"/>
    <w:tmpl w:val="7A4602A8"/>
    <w:lvl w:ilvl="0">
      <w:start w:val="1"/>
      <w:numFmt w:val="decimal"/>
      <w:suff w:val="space"/>
      <w:lvlText w:val="[%1]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4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20A2"/>
    <w:rsid w:val="0001540D"/>
    <w:rsid w:val="00046DC4"/>
    <w:rsid w:val="00050DFF"/>
    <w:rsid w:val="00067B3F"/>
    <w:rsid w:val="00071CED"/>
    <w:rsid w:val="00077BCE"/>
    <w:rsid w:val="00083BC7"/>
    <w:rsid w:val="00094DCF"/>
    <w:rsid w:val="000A4233"/>
    <w:rsid w:val="000C5842"/>
    <w:rsid w:val="000C607B"/>
    <w:rsid w:val="000C6843"/>
    <w:rsid w:val="000E68B2"/>
    <w:rsid w:val="000F3F5F"/>
    <w:rsid w:val="000F775A"/>
    <w:rsid w:val="00117F54"/>
    <w:rsid w:val="00130B6F"/>
    <w:rsid w:val="00142726"/>
    <w:rsid w:val="00150556"/>
    <w:rsid w:val="00161743"/>
    <w:rsid w:val="0016566D"/>
    <w:rsid w:val="00186D72"/>
    <w:rsid w:val="001A0907"/>
    <w:rsid w:val="001A35E1"/>
    <w:rsid w:val="001B338B"/>
    <w:rsid w:val="001B4943"/>
    <w:rsid w:val="001C2C91"/>
    <w:rsid w:val="001D0FA4"/>
    <w:rsid w:val="001D4EE1"/>
    <w:rsid w:val="001E35C0"/>
    <w:rsid w:val="001F60E2"/>
    <w:rsid w:val="001F7C29"/>
    <w:rsid w:val="00216110"/>
    <w:rsid w:val="00247E46"/>
    <w:rsid w:val="002A2F27"/>
    <w:rsid w:val="002A7355"/>
    <w:rsid w:val="002B6379"/>
    <w:rsid w:val="002E5239"/>
    <w:rsid w:val="002E53E3"/>
    <w:rsid w:val="002F7282"/>
    <w:rsid w:val="00300EE4"/>
    <w:rsid w:val="00302AA4"/>
    <w:rsid w:val="00307408"/>
    <w:rsid w:val="003164B2"/>
    <w:rsid w:val="00316F8A"/>
    <w:rsid w:val="003203B5"/>
    <w:rsid w:val="00320DFF"/>
    <w:rsid w:val="00323B43"/>
    <w:rsid w:val="003331D6"/>
    <w:rsid w:val="00336233"/>
    <w:rsid w:val="0034003C"/>
    <w:rsid w:val="00352927"/>
    <w:rsid w:val="003666C4"/>
    <w:rsid w:val="00373301"/>
    <w:rsid w:val="0037451F"/>
    <w:rsid w:val="00381FF2"/>
    <w:rsid w:val="003A0CA0"/>
    <w:rsid w:val="003A176B"/>
    <w:rsid w:val="003A539C"/>
    <w:rsid w:val="003A6DBA"/>
    <w:rsid w:val="003B3BE2"/>
    <w:rsid w:val="003C018F"/>
    <w:rsid w:val="003C3966"/>
    <w:rsid w:val="003C7B55"/>
    <w:rsid w:val="003D1BDE"/>
    <w:rsid w:val="003D37D8"/>
    <w:rsid w:val="003E3BD8"/>
    <w:rsid w:val="003F74FE"/>
    <w:rsid w:val="00402FB0"/>
    <w:rsid w:val="004170BC"/>
    <w:rsid w:val="004233DA"/>
    <w:rsid w:val="00425313"/>
    <w:rsid w:val="00426133"/>
    <w:rsid w:val="004358AB"/>
    <w:rsid w:val="00444EFB"/>
    <w:rsid w:val="00457478"/>
    <w:rsid w:val="004872FD"/>
    <w:rsid w:val="00487AA9"/>
    <w:rsid w:val="004950D6"/>
    <w:rsid w:val="004A1CF7"/>
    <w:rsid w:val="004A1E11"/>
    <w:rsid w:val="004A5C2E"/>
    <w:rsid w:val="004B11DC"/>
    <w:rsid w:val="004B2A45"/>
    <w:rsid w:val="004B3838"/>
    <w:rsid w:val="004C1DA1"/>
    <w:rsid w:val="004C3697"/>
    <w:rsid w:val="004D161C"/>
    <w:rsid w:val="004D3730"/>
    <w:rsid w:val="00506A32"/>
    <w:rsid w:val="0051671A"/>
    <w:rsid w:val="005277C2"/>
    <w:rsid w:val="005300BB"/>
    <w:rsid w:val="00534C9C"/>
    <w:rsid w:val="00535D04"/>
    <w:rsid w:val="005410C9"/>
    <w:rsid w:val="00545B90"/>
    <w:rsid w:val="00546767"/>
    <w:rsid w:val="00547027"/>
    <w:rsid w:val="00566AD2"/>
    <w:rsid w:val="00591011"/>
    <w:rsid w:val="005B20D0"/>
    <w:rsid w:val="005C0F98"/>
    <w:rsid w:val="005C27FF"/>
    <w:rsid w:val="005D473D"/>
    <w:rsid w:val="005D62BC"/>
    <w:rsid w:val="00604A25"/>
    <w:rsid w:val="00610D8C"/>
    <w:rsid w:val="00630007"/>
    <w:rsid w:val="006402D2"/>
    <w:rsid w:val="00643D28"/>
    <w:rsid w:val="00650746"/>
    <w:rsid w:val="006660CC"/>
    <w:rsid w:val="006B05F9"/>
    <w:rsid w:val="006B1026"/>
    <w:rsid w:val="006C63C1"/>
    <w:rsid w:val="006E5490"/>
    <w:rsid w:val="006E762E"/>
    <w:rsid w:val="006F03CD"/>
    <w:rsid w:val="006F6ACD"/>
    <w:rsid w:val="007050BA"/>
    <w:rsid w:val="00713A3B"/>
    <w:rsid w:val="00714551"/>
    <w:rsid w:val="0072168D"/>
    <w:rsid w:val="0072245B"/>
    <w:rsid w:val="007545AF"/>
    <w:rsid w:val="00777F7E"/>
    <w:rsid w:val="00795E88"/>
    <w:rsid w:val="007A5BE8"/>
    <w:rsid w:val="007C56F2"/>
    <w:rsid w:val="007D24D0"/>
    <w:rsid w:val="008030E8"/>
    <w:rsid w:val="00806287"/>
    <w:rsid w:val="0082514A"/>
    <w:rsid w:val="00825CDF"/>
    <w:rsid w:val="00875CAC"/>
    <w:rsid w:val="00891878"/>
    <w:rsid w:val="008932C4"/>
    <w:rsid w:val="00896BD1"/>
    <w:rsid w:val="008A2A0C"/>
    <w:rsid w:val="008A4449"/>
    <w:rsid w:val="008A6E8A"/>
    <w:rsid w:val="008A73CE"/>
    <w:rsid w:val="008B7726"/>
    <w:rsid w:val="008C3690"/>
    <w:rsid w:val="008D385B"/>
    <w:rsid w:val="008D7600"/>
    <w:rsid w:val="008E16BD"/>
    <w:rsid w:val="008E3ED7"/>
    <w:rsid w:val="009046CC"/>
    <w:rsid w:val="009101A0"/>
    <w:rsid w:val="00947D89"/>
    <w:rsid w:val="00952A1B"/>
    <w:rsid w:val="0096491E"/>
    <w:rsid w:val="00970A66"/>
    <w:rsid w:val="009825D4"/>
    <w:rsid w:val="009A727C"/>
    <w:rsid w:val="009B5881"/>
    <w:rsid w:val="009C696E"/>
    <w:rsid w:val="009C7F79"/>
    <w:rsid w:val="009D3CCC"/>
    <w:rsid w:val="00A00FCD"/>
    <w:rsid w:val="00A02F5A"/>
    <w:rsid w:val="00A0308C"/>
    <w:rsid w:val="00A20190"/>
    <w:rsid w:val="00A620C4"/>
    <w:rsid w:val="00A62712"/>
    <w:rsid w:val="00A76A9B"/>
    <w:rsid w:val="00A910C0"/>
    <w:rsid w:val="00AA1E3F"/>
    <w:rsid w:val="00AA26C2"/>
    <w:rsid w:val="00AB3012"/>
    <w:rsid w:val="00AB7990"/>
    <w:rsid w:val="00AC1982"/>
    <w:rsid w:val="00AC3EEE"/>
    <w:rsid w:val="00AC7923"/>
    <w:rsid w:val="00AD0A3A"/>
    <w:rsid w:val="00AE7CE6"/>
    <w:rsid w:val="00AF0C7B"/>
    <w:rsid w:val="00AF7B3A"/>
    <w:rsid w:val="00B030FE"/>
    <w:rsid w:val="00B30667"/>
    <w:rsid w:val="00B37101"/>
    <w:rsid w:val="00B54BE0"/>
    <w:rsid w:val="00B56B5A"/>
    <w:rsid w:val="00B76A13"/>
    <w:rsid w:val="00B77263"/>
    <w:rsid w:val="00B95C6C"/>
    <w:rsid w:val="00B96C46"/>
    <w:rsid w:val="00BA3ACF"/>
    <w:rsid w:val="00BA61AA"/>
    <w:rsid w:val="00BC07A0"/>
    <w:rsid w:val="00BC5256"/>
    <w:rsid w:val="00BE64BF"/>
    <w:rsid w:val="00BE7A57"/>
    <w:rsid w:val="00BF053C"/>
    <w:rsid w:val="00C01EBE"/>
    <w:rsid w:val="00C12056"/>
    <w:rsid w:val="00C239BE"/>
    <w:rsid w:val="00C70A83"/>
    <w:rsid w:val="00C71485"/>
    <w:rsid w:val="00C729B0"/>
    <w:rsid w:val="00C94262"/>
    <w:rsid w:val="00CA4008"/>
    <w:rsid w:val="00CA6226"/>
    <w:rsid w:val="00CB7C8C"/>
    <w:rsid w:val="00CD097C"/>
    <w:rsid w:val="00CE7BDE"/>
    <w:rsid w:val="00CF57E6"/>
    <w:rsid w:val="00D12B06"/>
    <w:rsid w:val="00D13E30"/>
    <w:rsid w:val="00D202DE"/>
    <w:rsid w:val="00D31D50"/>
    <w:rsid w:val="00D34773"/>
    <w:rsid w:val="00D3513D"/>
    <w:rsid w:val="00D45D4B"/>
    <w:rsid w:val="00D5564F"/>
    <w:rsid w:val="00D67510"/>
    <w:rsid w:val="00DA460E"/>
    <w:rsid w:val="00DB2222"/>
    <w:rsid w:val="00DB6554"/>
    <w:rsid w:val="00DB703B"/>
    <w:rsid w:val="00DC48A4"/>
    <w:rsid w:val="00DC50F9"/>
    <w:rsid w:val="00DC5DBF"/>
    <w:rsid w:val="00DD4372"/>
    <w:rsid w:val="00DE50A2"/>
    <w:rsid w:val="00DE6D52"/>
    <w:rsid w:val="00DF51AC"/>
    <w:rsid w:val="00DF626D"/>
    <w:rsid w:val="00E0701E"/>
    <w:rsid w:val="00E076AD"/>
    <w:rsid w:val="00E24530"/>
    <w:rsid w:val="00E24F3F"/>
    <w:rsid w:val="00E46B13"/>
    <w:rsid w:val="00E55BBF"/>
    <w:rsid w:val="00E56D4E"/>
    <w:rsid w:val="00E63D45"/>
    <w:rsid w:val="00E66F2B"/>
    <w:rsid w:val="00E71F8B"/>
    <w:rsid w:val="00E8745D"/>
    <w:rsid w:val="00E94969"/>
    <w:rsid w:val="00EA171D"/>
    <w:rsid w:val="00EB1544"/>
    <w:rsid w:val="00EB61A3"/>
    <w:rsid w:val="00EE1874"/>
    <w:rsid w:val="00EF25ED"/>
    <w:rsid w:val="00EF57AC"/>
    <w:rsid w:val="00EF6DD4"/>
    <w:rsid w:val="00F077C5"/>
    <w:rsid w:val="00F152EA"/>
    <w:rsid w:val="00F42954"/>
    <w:rsid w:val="00F43054"/>
    <w:rsid w:val="00F436A4"/>
    <w:rsid w:val="00F4783B"/>
    <w:rsid w:val="00F534DB"/>
    <w:rsid w:val="00F72CE9"/>
    <w:rsid w:val="00F85358"/>
    <w:rsid w:val="00F8737A"/>
    <w:rsid w:val="00F93854"/>
    <w:rsid w:val="00FB58F3"/>
    <w:rsid w:val="00FC0978"/>
    <w:rsid w:val="029367D0"/>
    <w:rsid w:val="03C64123"/>
    <w:rsid w:val="0B802355"/>
    <w:rsid w:val="0BCE5EDB"/>
    <w:rsid w:val="0F4F5B54"/>
    <w:rsid w:val="16FB3479"/>
    <w:rsid w:val="1C0E3BF7"/>
    <w:rsid w:val="202412C2"/>
    <w:rsid w:val="23E100A1"/>
    <w:rsid w:val="24476D58"/>
    <w:rsid w:val="24C57337"/>
    <w:rsid w:val="2C3F113E"/>
    <w:rsid w:val="2F176A8E"/>
    <w:rsid w:val="3342395A"/>
    <w:rsid w:val="3475246E"/>
    <w:rsid w:val="39DE1283"/>
    <w:rsid w:val="3C0371B5"/>
    <w:rsid w:val="3EA60413"/>
    <w:rsid w:val="4D063335"/>
    <w:rsid w:val="4E555F70"/>
    <w:rsid w:val="4ED36140"/>
    <w:rsid w:val="4F0C26CC"/>
    <w:rsid w:val="52513C77"/>
    <w:rsid w:val="52F40862"/>
    <w:rsid w:val="5F893581"/>
    <w:rsid w:val="618976D1"/>
    <w:rsid w:val="623643D3"/>
    <w:rsid w:val="643A5383"/>
    <w:rsid w:val="647F2AAC"/>
    <w:rsid w:val="650D0C60"/>
    <w:rsid w:val="6560334C"/>
    <w:rsid w:val="66120209"/>
    <w:rsid w:val="6BAF5D71"/>
    <w:rsid w:val="6D075C8B"/>
    <w:rsid w:val="6D262F2A"/>
    <w:rsid w:val="6F16116B"/>
    <w:rsid w:val="72910E2D"/>
    <w:rsid w:val="732C7A34"/>
    <w:rsid w:val="735131E2"/>
    <w:rsid w:val="741C73F7"/>
    <w:rsid w:val="744B0933"/>
    <w:rsid w:val="79F75232"/>
    <w:rsid w:val="7C832CF8"/>
    <w:rsid w:val="7CC05103"/>
    <w:rsid w:val="7DC6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7C51"/>
  <w15:docId w15:val="{493B623C-1D3F-4002-A782-E18E9FD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line="360" w:lineRule="auto"/>
    </w:pPr>
    <w:rPr>
      <w:rFonts w:ascii="仿宋" w:eastAsia="仿宋" w:hAnsi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仿宋" w:hAnsi="Times New Roman"/>
      <w:sz w:val="30"/>
      <w:szCs w:val="22"/>
    </w:rPr>
  </w:style>
  <w:style w:type="table" w:customStyle="1" w:styleId="2">
    <w:name w:val="网格型2"/>
    <w:basedOn w:val="a1"/>
    <w:uiPriority w:val="59"/>
    <w:qFormat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ubmed.ncbi.nlm.nih.gov/?term=Starkie+DO&amp;cauthor_id=27022949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pubmed.ncbi.nlm.nih.gov/?term=Rapecki+S&amp;cauthor_id=27022949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ubmed.ncbi.nlm.nih.gov/?term=Compson+JE&amp;cauthor_id=2702294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84C2B-9830-44EA-989D-D02F8FAE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>China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2021-09-02T07:54:00Z</cp:lastPrinted>
  <dcterms:created xsi:type="dcterms:W3CDTF">2022-07-06T02:34:00Z</dcterms:created>
  <dcterms:modified xsi:type="dcterms:W3CDTF">2022-07-06T02:34:00Z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277F0422B9FF4E05AC8EB3D5A449710D</vt:lpwstr>
  </property>
</Properties>
</file>